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3555EF" w14:textId="1F6A7035" w:rsidR="00156A1A" w:rsidRPr="007728E8" w:rsidRDefault="003568B6" w:rsidP="00156A1A">
      <w:pPr>
        <w:pStyle w:val="CRCoverPage"/>
        <w:tabs>
          <w:tab w:val="right" w:pos="9639"/>
        </w:tabs>
        <w:spacing w:after="0"/>
        <w:rPr>
          <w:b/>
          <w:i/>
          <w:noProof/>
          <w:sz w:val="28"/>
        </w:rPr>
      </w:pPr>
      <w:r>
        <w:rPr>
          <w:b/>
          <w:noProof/>
          <w:sz w:val="24"/>
        </w:rPr>
        <w:t>3GPP TSG-RAN2#</w:t>
      </w:r>
      <w:r w:rsidR="005A2C51">
        <w:rPr>
          <w:b/>
          <w:noProof/>
          <w:sz w:val="24"/>
        </w:rPr>
        <w:t>96</w:t>
      </w:r>
      <w:r w:rsidR="005A4A8D">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w:t>
      </w:r>
      <w:r w:rsidR="004C54F1" w:rsidRPr="003A282C">
        <w:rPr>
          <w:b/>
          <w:noProof/>
          <w:sz w:val="28"/>
        </w:rPr>
        <w:t>1</w:t>
      </w:r>
      <w:r w:rsidR="004C54F1">
        <w:rPr>
          <w:b/>
          <w:noProof/>
          <w:sz w:val="28"/>
        </w:rPr>
        <w:t>6</w:t>
      </w:r>
      <w:r w:rsidR="000E460B">
        <w:rPr>
          <w:b/>
          <w:noProof/>
          <w:sz w:val="28"/>
        </w:rPr>
        <w:t>8585</w:t>
      </w:r>
      <w:bookmarkStart w:id="0" w:name="_GoBack"/>
      <w:bookmarkEnd w:id="0"/>
    </w:p>
    <w:p w14:paraId="6A2E61ED" w14:textId="77777777" w:rsidR="00156A1A" w:rsidRDefault="005A2C51" w:rsidP="00156A1A">
      <w:pPr>
        <w:pStyle w:val="CRCoverPage"/>
        <w:rPr>
          <w:b/>
          <w:noProof/>
          <w:sz w:val="24"/>
        </w:rPr>
      </w:pPr>
      <w:r>
        <w:rPr>
          <w:b/>
          <w:sz w:val="24"/>
          <w:szCs w:val="24"/>
        </w:rPr>
        <w:t>Reno</w:t>
      </w:r>
      <w:r w:rsidR="002C600F">
        <w:rPr>
          <w:b/>
          <w:sz w:val="24"/>
          <w:szCs w:val="24"/>
        </w:rPr>
        <w:t xml:space="preserve">, </w:t>
      </w:r>
      <w:r>
        <w:rPr>
          <w:b/>
          <w:sz w:val="24"/>
          <w:szCs w:val="24"/>
        </w:rPr>
        <w:t>USA</w:t>
      </w:r>
      <w:r w:rsidR="000B4201">
        <w:rPr>
          <w:b/>
          <w:sz w:val="24"/>
          <w:szCs w:val="24"/>
        </w:rPr>
        <w:t xml:space="preserve">, </w:t>
      </w:r>
      <w:r>
        <w:rPr>
          <w:b/>
          <w:sz w:val="24"/>
          <w:szCs w:val="24"/>
        </w:rPr>
        <w:t>14</w:t>
      </w:r>
      <w:r w:rsidR="000B4201">
        <w:rPr>
          <w:b/>
          <w:sz w:val="24"/>
          <w:szCs w:val="24"/>
        </w:rPr>
        <w:t xml:space="preserve"> - </w:t>
      </w:r>
      <w:r>
        <w:rPr>
          <w:b/>
          <w:sz w:val="24"/>
          <w:szCs w:val="24"/>
        </w:rPr>
        <w:t>18</w:t>
      </w:r>
      <w:r w:rsidR="000B4201">
        <w:rPr>
          <w:b/>
          <w:sz w:val="24"/>
          <w:szCs w:val="24"/>
        </w:rPr>
        <w:t xml:space="preserve"> </w:t>
      </w:r>
      <w:r>
        <w:rPr>
          <w:b/>
          <w:sz w:val="24"/>
          <w:szCs w:val="24"/>
        </w:rPr>
        <w:t>Novem</w:t>
      </w:r>
      <w:r w:rsidR="00561ACD">
        <w:rPr>
          <w:b/>
          <w:sz w:val="24"/>
          <w:szCs w:val="24"/>
        </w:rPr>
        <w:t>ber</w:t>
      </w:r>
      <w:r w:rsidR="002C600F" w:rsidRPr="009E4773">
        <w:rPr>
          <w:b/>
          <w:sz w:val="24"/>
          <w:szCs w:val="24"/>
        </w:rPr>
        <w:t xml:space="preserve"> </w:t>
      </w:r>
      <w:r w:rsidR="00D368AF">
        <w:rPr>
          <w:b/>
          <w:sz w:val="24"/>
          <w:szCs w:val="24"/>
        </w:rPr>
        <w:t>2016</w:t>
      </w:r>
    </w:p>
    <w:p w14:paraId="106FB278" w14:textId="77777777" w:rsidR="00156A1A" w:rsidRPr="009A6513" w:rsidRDefault="001B28F8" w:rsidP="0000505D">
      <w:pPr>
        <w:pStyle w:val="CRCoverPage"/>
        <w:ind w:left="1988" w:hanging="1988"/>
        <w:rPr>
          <w:b/>
          <w:noProof/>
          <w:sz w:val="24"/>
        </w:rPr>
      </w:pPr>
      <w:r>
        <w:rPr>
          <w:b/>
          <w:noProof/>
          <w:sz w:val="24"/>
        </w:rPr>
        <w:t>Agenda Item:</w:t>
      </w:r>
      <w:r>
        <w:rPr>
          <w:b/>
          <w:noProof/>
          <w:sz w:val="24"/>
        </w:rPr>
        <w:tab/>
      </w:r>
      <w:r w:rsidR="00AA7016">
        <w:rPr>
          <w:b/>
          <w:noProof/>
          <w:sz w:val="24"/>
        </w:rPr>
        <w:t>9.2.1.1</w:t>
      </w:r>
    </w:p>
    <w:p w14:paraId="281E5241" w14:textId="77777777"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2E4644FB" w14:textId="38FF564B"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0B5B58">
        <w:rPr>
          <w:b/>
          <w:noProof/>
          <w:sz w:val="24"/>
        </w:rPr>
        <w:t>RLC c</w:t>
      </w:r>
      <w:r w:rsidR="00561ACD">
        <w:rPr>
          <w:b/>
          <w:noProof/>
          <w:sz w:val="24"/>
        </w:rPr>
        <w:t>oncatenation for NR UP</w:t>
      </w:r>
    </w:p>
    <w:bookmarkEnd w:id="1"/>
    <w:bookmarkEnd w:id="2"/>
    <w:p w14:paraId="58D121F5"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A10867F"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1704B5D1" w14:textId="5762E6CF" w:rsidR="00412526" w:rsidRDefault="00C37E2F" w:rsidP="00412526">
      <w:pPr>
        <w:pStyle w:val="Doc-text2"/>
        <w:tabs>
          <w:tab w:val="left" w:pos="340"/>
        </w:tabs>
        <w:ind w:left="0" w:firstLine="0"/>
        <w:jc w:val="both"/>
      </w:pPr>
      <w:r>
        <w:t xml:space="preserve">In RAN#95BIS, the question of moving the concatenation functionality in the (LTE) RLC layer to the MAC layer for NR was extensively discussed, </w:t>
      </w:r>
      <w:r w:rsidR="00D4051A">
        <w:t>ultimately culminating in two “Way Forward” documents</w:t>
      </w:r>
      <w:r w:rsidR="00771324">
        <w:t xml:space="preserve"> </w:t>
      </w:r>
      <w:r w:rsidR="00A801A4">
        <w:fldChar w:fldCharType="begin"/>
      </w:r>
      <w:r w:rsidR="00A801A4">
        <w:instrText xml:space="preserve"> REF _Ref465072754 \r \h </w:instrText>
      </w:r>
      <w:r w:rsidR="00A801A4">
        <w:fldChar w:fldCharType="separate"/>
      </w:r>
      <w:r w:rsidR="00A801A4">
        <w:t>[1</w:t>
      </w:r>
      <w:r w:rsidR="00610151">
        <w:t xml:space="preserve">] </w:t>
      </w:r>
      <w:r w:rsidR="00A801A4">
        <w:fldChar w:fldCharType="end"/>
      </w:r>
      <w:r w:rsidR="00A801A4">
        <w:fldChar w:fldCharType="begin"/>
      </w:r>
      <w:r w:rsidR="00A801A4">
        <w:instrText xml:space="preserve"> REF _Ref465072756 \r \h </w:instrText>
      </w:r>
      <w:r w:rsidR="00A801A4">
        <w:fldChar w:fldCharType="separate"/>
      </w:r>
      <w:r w:rsidR="00A801A4">
        <w:t>[2]</w:t>
      </w:r>
      <w:r w:rsidR="00A801A4">
        <w:fldChar w:fldCharType="end"/>
      </w:r>
      <w:r>
        <w:t xml:space="preserve">. </w:t>
      </w:r>
      <w:r w:rsidR="00D4051A">
        <w:t>While no consensus on the placement of concatenation function itself emerged, several</w:t>
      </w:r>
      <w:r>
        <w:t xml:space="preserve"> agreements about the </w:t>
      </w:r>
      <w:r w:rsidR="00054D4E">
        <w:t>nature</w:t>
      </w:r>
      <w:r>
        <w:t xml:space="preserve"> of RLC layer in NR were reached.</w:t>
      </w:r>
    </w:p>
    <w:p w14:paraId="39A52B8E" w14:textId="77777777" w:rsidR="00C37E2F" w:rsidRDefault="00C37E2F" w:rsidP="00412526">
      <w:pPr>
        <w:pStyle w:val="Doc-text2"/>
        <w:tabs>
          <w:tab w:val="left" w:pos="340"/>
        </w:tabs>
        <w:ind w:left="0" w:firstLine="0"/>
        <w:jc w:val="both"/>
      </w:pPr>
    </w:p>
    <w:p w14:paraId="63AE00E0" w14:textId="77777777" w:rsidR="0036662B" w:rsidRPr="00C37E2F" w:rsidRDefault="0036662B" w:rsidP="00571DB2">
      <w:pPr>
        <w:pStyle w:val="Doc-text2"/>
        <w:numPr>
          <w:ilvl w:val="0"/>
          <w:numId w:val="40"/>
        </w:numPr>
        <w:pBdr>
          <w:top w:val="single" w:sz="4" w:space="1" w:color="auto"/>
          <w:left w:val="single" w:sz="4" w:space="4" w:color="auto"/>
          <w:bottom w:val="single" w:sz="4" w:space="1" w:color="auto"/>
          <w:right w:val="single" w:sz="4" w:space="4" w:color="auto"/>
        </w:pBdr>
        <w:tabs>
          <w:tab w:val="left" w:pos="340"/>
        </w:tabs>
        <w:jc w:val="both"/>
        <w:rPr>
          <w:lang w:val="en-US"/>
        </w:rPr>
      </w:pPr>
      <w:r w:rsidRPr="00C37E2F">
        <w:t>The ARQ will be supported in RLC. RLC adds an RLC SN</w:t>
      </w:r>
    </w:p>
    <w:p w14:paraId="25646E37" w14:textId="77777777" w:rsidR="0036662B" w:rsidRPr="00C37E2F" w:rsidRDefault="0036662B" w:rsidP="00571DB2">
      <w:pPr>
        <w:pStyle w:val="Doc-text2"/>
        <w:numPr>
          <w:ilvl w:val="0"/>
          <w:numId w:val="40"/>
        </w:numPr>
        <w:pBdr>
          <w:top w:val="single" w:sz="4" w:space="1" w:color="auto"/>
          <w:left w:val="single" w:sz="4" w:space="4" w:color="auto"/>
          <w:bottom w:val="single" w:sz="4" w:space="1" w:color="auto"/>
          <w:right w:val="single" w:sz="4" w:space="4" w:color="auto"/>
        </w:pBdr>
        <w:tabs>
          <w:tab w:val="left" w:pos="340"/>
        </w:tabs>
        <w:jc w:val="both"/>
        <w:rPr>
          <w:lang w:val="en-US"/>
        </w:rPr>
      </w:pPr>
      <w:r w:rsidRPr="00C37E2F">
        <w:t>In NR, the segmentation function is only placed in the RLC layer as in LTE.</w:t>
      </w:r>
    </w:p>
    <w:p w14:paraId="18E4E97B" w14:textId="77777777" w:rsidR="0036662B" w:rsidRPr="00C37E2F" w:rsidRDefault="0036662B" w:rsidP="00571DB2">
      <w:pPr>
        <w:pStyle w:val="Doc-text2"/>
        <w:numPr>
          <w:ilvl w:val="0"/>
          <w:numId w:val="40"/>
        </w:numPr>
        <w:pBdr>
          <w:top w:val="single" w:sz="4" w:space="1" w:color="auto"/>
          <w:left w:val="single" w:sz="4" w:space="4" w:color="auto"/>
          <w:bottom w:val="single" w:sz="4" w:space="1" w:color="auto"/>
          <w:right w:val="single" w:sz="4" w:space="4" w:color="auto"/>
        </w:pBdr>
        <w:tabs>
          <w:tab w:val="left" w:pos="340"/>
        </w:tabs>
        <w:jc w:val="both"/>
        <w:rPr>
          <w:lang w:val="en-US"/>
        </w:rPr>
      </w:pPr>
      <w:r w:rsidRPr="00C37E2F">
        <w:t>SO-based segmentation can be considered for both segmentation and resegmentation as a baseline in NR user plane to support high data rate. (Does not imply anything about location of concatenation). At least overhead for the low data rate case should be analysed further.</w:t>
      </w:r>
    </w:p>
    <w:p w14:paraId="00E3C269" w14:textId="77777777" w:rsidR="00571DB2" w:rsidRDefault="00571DB2" w:rsidP="00C37E2F">
      <w:pPr>
        <w:pStyle w:val="Doc-text2"/>
        <w:tabs>
          <w:tab w:val="left" w:pos="340"/>
        </w:tabs>
        <w:ind w:left="720" w:firstLine="0"/>
        <w:jc w:val="both"/>
      </w:pPr>
    </w:p>
    <w:p w14:paraId="2415EC55" w14:textId="14019680" w:rsidR="00054D4E" w:rsidRDefault="00054D4E" w:rsidP="00571DB2">
      <w:pPr>
        <w:pStyle w:val="Doc-text2"/>
        <w:tabs>
          <w:tab w:val="left" w:pos="340"/>
        </w:tabs>
        <w:ind w:left="0" w:firstLine="0"/>
        <w:jc w:val="both"/>
      </w:pPr>
      <w:r>
        <w:t>In addition RAN2 also took some decisions on how to proceed further in specifying user plane aspects for NR.</w:t>
      </w:r>
    </w:p>
    <w:p w14:paraId="384B0FA0" w14:textId="77777777" w:rsidR="00054D4E" w:rsidRDefault="00054D4E" w:rsidP="00571DB2">
      <w:pPr>
        <w:pStyle w:val="Doc-text2"/>
        <w:tabs>
          <w:tab w:val="left" w:pos="340"/>
        </w:tabs>
        <w:ind w:left="0" w:firstLine="0"/>
        <w:jc w:val="both"/>
      </w:pPr>
    </w:p>
    <w:p w14:paraId="3AFE14E1" w14:textId="77777777" w:rsidR="00054D4E" w:rsidRPr="00C37E2F" w:rsidRDefault="00054D4E" w:rsidP="00054D4E">
      <w:pPr>
        <w:pStyle w:val="Doc-text2"/>
        <w:numPr>
          <w:ilvl w:val="0"/>
          <w:numId w:val="40"/>
        </w:numPr>
        <w:pBdr>
          <w:top w:val="single" w:sz="4" w:space="1" w:color="auto"/>
          <w:left w:val="single" w:sz="4" w:space="4" w:color="auto"/>
          <w:bottom w:val="single" w:sz="4" w:space="1" w:color="auto"/>
          <w:right w:val="single" w:sz="4" w:space="4" w:color="auto"/>
        </w:pBdr>
        <w:tabs>
          <w:tab w:val="left" w:pos="340"/>
        </w:tabs>
        <w:jc w:val="both"/>
        <w:rPr>
          <w:lang w:val="en-US"/>
        </w:rPr>
      </w:pPr>
      <w:r w:rsidRPr="00C37E2F">
        <w:t>RAN2 aim to make a final decision at the next meeting.</w:t>
      </w:r>
    </w:p>
    <w:p w14:paraId="4073DF51" w14:textId="77777777" w:rsidR="00054D4E" w:rsidRPr="00054D4E" w:rsidRDefault="00054D4E" w:rsidP="00054D4E">
      <w:pPr>
        <w:pStyle w:val="Doc-text2"/>
        <w:numPr>
          <w:ilvl w:val="0"/>
          <w:numId w:val="40"/>
        </w:numPr>
        <w:pBdr>
          <w:top w:val="single" w:sz="4" w:space="1" w:color="auto"/>
          <w:left w:val="single" w:sz="4" w:space="4" w:color="auto"/>
          <w:bottom w:val="single" w:sz="4" w:space="1" w:color="auto"/>
          <w:right w:val="single" w:sz="4" w:space="4" w:color="auto"/>
        </w:pBdr>
        <w:tabs>
          <w:tab w:val="left" w:pos="340"/>
        </w:tabs>
        <w:jc w:val="both"/>
        <w:rPr>
          <w:lang w:val="en-US"/>
        </w:rPr>
      </w:pPr>
      <w:r w:rsidRPr="00C37E2F">
        <w:t>Proponents of solutions to next meeting must identify the what issues (e.g. easing implementation aspects, overhead, etc</w:t>
      </w:r>
      <w:r>
        <w:t>.</w:t>
      </w:r>
      <w:r w:rsidRPr="00C37E2F">
        <w:t>) are being addressed by their proposals.</w:t>
      </w:r>
    </w:p>
    <w:p w14:paraId="1BF758DC" w14:textId="083D6733" w:rsidR="00054D4E" w:rsidRPr="00C37E2F" w:rsidRDefault="00054D4E" w:rsidP="00054D4E">
      <w:pPr>
        <w:pStyle w:val="Doc-text2"/>
        <w:numPr>
          <w:ilvl w:val="0"/>
          <w:numId w:val="40"/>
        </w:numPr>
        <w:pBdr>
          <w:top w:val="single" w:sz="4" w:space="1" w:color="auto"/>
          <w:left w:val="single" w:sz="4" w:space="4" w:color="auto"/>
          <w:bottom w:val="single" w:sz="4" w:space="1" w:color="auto"/>
          <w:right w:val="single" w:sz="4" w:space="4" w:color="auto"/>
        </w:pBdr>
        <w:tabs>
          <w:tab w:val="left" w:pos="340"/>
        </w:tabs>
        <w:jc w:val="both"/>
        <w:rPr>
          <w:lang w:val="en-US"/>
        </w:rPr>
      </w:pPr>
      <w:r>
        <w:t>RAN2 should consider processing at both the transmitter and receiver endpoints when evaluating whether to divert from the LTE baseline.</w:t>
      </w:r>
    </w:p>
    <w:p w14:paraId="57F0B11A" w14:textId="77777777" w:rsidR="00054D4E" w:rsidRDefault="00054D4E" w:rsidP="00571DB2">
      <w:pPr>
        <w:pStyle w:val="Doc-text2"/>
        <w:tabs>
          <w:tab w:val="left" w:pos="340"/>
        </w:tabs>
        <w:ind w:left="0" w:firstLine="0"/>
        <w:jc w:val="both"/>
      </w:pPr>
    </w:p>
    <w:p w14:paraId="78185137" w14:textId="77777777" w:rsidR="00054D4E" w:rsidRDefault="00054D4E" w:rsidP="00571DB2">
      <w:pPr>
        <w:pStyle w:val="Doc-text2"/>
        <w:tabs>
          <w:tab w:val="left" w:pos="340"/>
        </w:tabs>
        <w:ind w:left="0" w:firstLine="0"/>
        <w:jc w:val="both"/>
      </w:pPr>
    </w:p>
    <w:p w14:paraId="3CA5E3ED" w14:textId="0B1F7BF1" w:rsidR="00571DB2" w:rsidRPr="007276DD" w:rsidRDefault="00571DB2" w:rsidP="00571DB2">
      <w:pPr>
        <w:pStyle w:val="Doc-text2"/>
        <w:tabs>
          <w:tab w:val="left" w:pos="340"/>
        </w:tabs>
        <w:ind w:left="0" w:firstLine="0"/>
        <w:jc w:val="both"/>
      </w:pPr>
      <w:r>
        <w:t xml:space="preserve">Accordingly, in this document we begin with a discussion of transmitter and receiver considerations for the RLC layer. We then provide a description of our proposal for the RLC layer and provide some comparison with other proposed schemes. </w:t>
      </w:r>
    </w:p>
    <w:p w14:paraId="2ABFDA2F" w14:textId="56376DE0" w:rsidR="0042773E" w:rsidRDefault="00972E3C" w:rsidP="00494271">
      <w:pPr>
        <w:pStyle w:val="Heading1"/>
        <w:rPr>
          <w:lang w:val="en-US" w:eastAsia="ko-KR"/>
        </w:rPr>
      </w:pPr>
      <w:r>
        <w:rPr>
          <w:lang w:val="en-US" w:eastAsia="ko-KR"/>
        </w:rPr>
        <w:t xml:space="preserve">2 </w:t>
      </w:r>
      <w:r w:rsidR="00C72DF3">
        <w:rPr>
          <w:lang w:val="en-US" w:eastAsia="ko-KR"/>
        </w:rPr>
        <w:t>Processing considerations at the RLC layer</w:t>
      </w:r>
    </w:p>
    <w:p w14:paraId="3A01A7A3" w14:textId="528DBCFB" w:rsidR="00A41C32" w:rsidRDefault="008A05B8" w:rsidP="00A41C32">
      <w:pPr>
        <w:rPr>
          <w:rFonts w:ascii="Arial" w:eastAsia="MS Mincho" w:hAnsi="Arial" w:cs="Arial"/>
          <w:szCs w:val="24"/>
        </w:rPr>
      </w:pPr>
      <w:r>
        <w:rPr>
          <w:rFonts w:ascii="Arial" w:eastAsia="MS Mincho" w:hAnsi="Arial"/>
          <w:szCs w:val="24"/>
        </w:rPr>
        <w:t>There appears to be an emerging consensus that the LTE RLC layer is inadequate for handling the performance desired from NR.</w:t>
      </w:r>
      <w:r w:rsidR="00E42827">
        <w:rPr>
          <w:rFonts w:ascii="Arial" w:eastAsia="MS Mincho" w:hAnsi="Arial"/>
          <w:szCs w:val="24"/>
        </w:rPr>
        <w:t xml:space="preserve"> The eMBB usage scenarios</w:t>
      </w:r>
      <w:r w:rsidR="00A41C32">
        <w:rPr>
          <w:rFonts w:ascii="Arial" w:eastAsia="MS Mincho" w:hAnsi="Arial"/>
          <w:szCs w:val="24"/>
        </w:rPr>
        <w:t xml:space="preserve"> </w:t>
      </w:r>
      <w:r w:rsidR="00A41C32">
        <w:rPr>
          <w:rFonts w:ascii="Arial" w:eastAsia="MS Mincho" w:hAnsi="Arial"/>
          <w:szCs w:val="24"/>
        </w:rPr>
        <w:fldChar w:fldCharType="begin"/>
      </w:r>
      <w:r w:rsidR="00A41C32">
        <w:rPr>
          <w:rFonts w:ascii="Arial" w:eastAsia="MS Mincho" w:hAnsi="Arial"/>
          <w:szCs w:val="24"/>
        </w:rPr>
        <w:instrText xml:space="preserve"> REF _Ref458009541 \r \h </w:instrText>
      </w:r>
      <w:r w:rsidR="00A41C32">
        <w:rPr>
          <w:rFonts w:ascii="Arial" w:eastAsia="MS Mincho" w:hAnsi="Arial"/>
          <w:szCs w:val="24"/>
        </w:rPr>
      </w:r>
      <w:r w:rsidR="00A41C32">
        <w:rPr>
          <w:rFonts w:ascii="Arial" w:eastAsia="MS Mincho" w:hAnsi="Arial"/>
          <w:szCs w:val="24"/>
        </w:rPr>
        <w:fldChar w:fldCharType="separate"/>
      </w:r>
      <w:r w:rsidR="00A41C32">
        <w:rPr>
          <w:rFonts w:ascii="Arial" w:eastAsia="MS Mincho" w:hAnsi="Arial"/>
          <w:szCs w:val="24"/>
        </w:rPr>
        <w:t>[3]</w:t>
      </w:r>
      <w:r w:rsidR="00A41C32">
        <w:rPr>
          <w:rFonts w:ascii="Arial" w:eastAsia="MS Mincho" w:hAnsi="Arial"/>
          <w:szCs w:val="24"/>
        </w:rPr>
        <w:fldChar w:fldCharType="end"/>
      </w:r>
      <w:r w:rsidR="00E42827">
        <w:rPr>
          <w:rFonts w:ascii="Arial" w:eastAsia="MS Mincho" w:hAnsi="Arial"/>
          <w:szCs w:val="24"/>
        </w:rPr>
        <w:t xml:space="preserve"> targets DL (UL) data rates of </w:t>
      </w:r>
      <w:r w:rsidR="00610151">
        <w:rPr>
          <w:rFonts w:ascii="Arial" w:eastAsia="MS Mincho" w:hAnsi="Arial"/>
          <w:szCs w:val="24"/>
        </w:rPr>
        <w:t>20Gbps (</w:t>
      </w:r>
      <w:r w:rsidR="00E42827">
        <w:rPr>
          <w:rFonts w:ascii="Arial" w:eastAsia="MS Mincho" w:hAnsi="Arial"/>
          <w:szCs w:val="24"/>
        </w:rPr>
        <w:t xml:space="preserve">10 Gbps) and user plane latency of 4ms, severely limiting the amount of time available for both transmit and receive processing. </w:t>
      </w:r>
      <w:r w:rsidR="00A41C32">
        <w:rPr>
          <w:rFonts w:ascii="Arial" w:eastAsia="MS Mincho" w:hAnsi="Arial" w:cs="Arial"/>
          <w:szCs w:val="24"/>
        </w:rPr>
        <w:t xml:space="preserve">These performance requirements are exacerbated by the likely adoption of shorter TTI, and will impose a significant burden on UE processing power, memory bandwidth, and power consumption. </w:t>
      </w:r>
    </w:p>
    <w:p w14:paraId="6C88E5C3" w14:textId="27953FFC" w:rsidR="00A41C32" w:rsidRDefault="00A41C32" w:rsidP="00A41C32">
      <w:pPr>
        <w:rPr>
          <w:rFonts w:ascii="Arial" w:eastAsia="MS Mincho" w:hAnsi="Arial" w:cs="Arial"/>
          <w:szCs w:val="24"/>
        </w:rPr>
      </w:pPr>
      <w:r>
        <w:rPr>
          <w:rFonts w:ascii="Arial" w:eastAsia="MS Mincho" w:hAnsi="Arial" w:cs="Arial"/>
          <w:szCs w:val="24"/>
        </w:rPr>
        <w:t>In LTE, an RLC PDU can be constructed only after the UE received an uplink grant from the eNB and the result of the MAC layer LCP calculation is known. At that point, the UE concatenates and/or segments a sufficient number of PDCP PDUs to construct a single variable length RLC PDU, with a variable length RLC header. If this mechanism were to be applied to NR, then supporting 10Gbps UL data rate wit</w:t>
      </w:r>
      <w:r w:rsidR="0036662B">
        <w:rPr>
          <w:rFonts w:ascii="Arial" w:eastAsia="MS Mincho" w:hAnsi="Arial" w:cs="Arial"/>
          <w:szCs w:val="24"/>
        </w:rPr>
        <w:t>h</w:t>
      </w:r>
      <w:r>
        <w:rPr>
          <w:rFonts w:ascii="Arial" w:eastAsia="MS Mincho" w:hAnsi="Arial" w:cs="Arial"/>
          <w:szCs w:val="24"/>
        </w:rPr>
        <w:t xml:space="preserve"> 1500 byte sized PDCP PDU, and scheduling grants every 1ms</w:t>
      </w:r>
      <w:r w:rsidR="0036662B">
        <w:rPr>
          <w:rFonts w:ascii="Arial" w:eastAsia="MS Mincho" w:hAnsi="Arial" w:cs="Arial"/>
          <w:szCs w:val="24"/>
        </w:rPr>
        <w:t>,</w:t>
      </w:r>
      <w:r>
        <w:rPr>
          <w:rFonts w:ascii="Arial" w:eastAsia="MS Mincho" w:hAnsi="Arial" w:cs="Arial"/>
          <w:szCs w:val="24"/>
        </w:rPr>
        <w:t xml:space="preserve"> woul</w:t>
      </w:r>
      <w:r w:rsidR="0036662B">
        <w:rPr>
          <w:rFonts w:ascii="Arial" w:eastAsia="MS Mincho" w:hAnsi="Arial" w:cs="Arial"/>
          <w:szCs w:val="24"/>
        </w:rPr>
        <w:t xml:space="preserve">d require the UE to concatenate </w:t>
      </w:r>
      <w:r>
        <w:rPr>
          <w:rFonts w:ascii="Arial" w:eastAsia="MS Mincho" w:hAnsi="Arial" w:cs="Arial"/>
          <w:szCs w:val="24"/>
        </w:rPr>
        <w:t xml:space="preserve">approximately </w:t>
      </w:r>
      <w:r w:rsidR="0036662B">
        <w:rPr>
          <w:rFonts w:ascii="Arial" w:eastAsia="MS Mincho" w:hAnsi="Arial" w:cs="Arial"/>
          <w:szCs w:val="24"/>
        </w:rPr>
        <w:t xml:space="preserve">833 PDCP PDUs, creating a header with approximately 833 LI (length indicator) fields every 1ms. </w:t>
      </w:r>
    </w:p>
    <w:p w14:paraId="005A69B0" w14:textId="664D7DE3" w:rsidR="0036662B" w:rsidRPr="0036662B" w:rsidRDefault="0036662B" w:rsidP="00A41C32">
      <w:pPr>
        <w:rPr>
          <w:rFonts w:ascii="Arial" w:eastAsia="MS Mincho" w:hAnsi="Arial" w:cs="Arial"/>
          <w:b/>
          <w:szCs w:val="24"/>
        </w:rPr>
      </w:pPr>
      <w:r w:rsidRPr="0036662B">
        <w:rPr>
          <w:rFonts w:ascii="Arial" w:eastAsia="MS Mincho" w:hAnsi="Arial" w:cs="Arial"/>
          <w:b/>
          <w:szCs w:val="24"/>
        </w:rPr>
        <w:t>Observation 1: From a transmit processing perspective, it is desirable to have the ability to pre-construct RLC headers/sub-headers without any dependence on the uplink grant process.</w:t>
      </w:r>
    </w:p>
    <w:p w14:paraId="095BBA38" w14:textId="073CF42F" w:rsidR="009B4B03" w:rsidRDefault="009B4B03" w:rsidP="00A41C32">
      <w:pPr>
        <w:rPr>
          <w:rFonts w:ascii="Arial" w:eastAsia="MS Mincho" w:hAnsi="Arial" w:cs="Arial"/>
          <w:szCs w:val="24"/>
        </w:rPr>
      </w:pPr>
      <w:r>
        <w:rPr>
          <w:rFonts w:ascii="Arial" w:eastAsia="MS Mincho" w:hAnsi="Arial" w:cs="Arial"/>
          <w:szCs w:val="24"/>
        </w:rPr>
        <w:t>Another key challenge with using LTE RLC for NR lies in the fact that the RLC header has variable length, depending on the number of PDCP PDUs and/or PDU segments that are packed in the RLC PDU. The RLC header uses the Extension bit (E) field to indicate if succeeding bits represent data or a set of E and LI fields. As a consequence the LTE receiver has to parse the LTE RLC header in serial fashion to process the RLC PDU. The use of variable length header structure and E bits is not suitable for hardware acceleration and parallel processing.</w:t>
      </w:r>
    </w:p>
    <w:p w14:paraId="4B0D1303" w14:textId="52645465" w:rsidR="00F2089E" w:rsidRPr="00F2089E" w:rsidRDefault="009B4B03" w:rsidP="00F2089E">
      <w:pPr>
        <w:rPr>
          <w:rFonts w:ascii="Arial" w:eastAsia="MS Mincho" w:hAnsi="Arial" w:cs="Arial"/>
          <w:b/>
          <w:szCs w:val="24"/>
        </w:rPr>
      </w:pPr>
      <w:r w:rsidRPr="009B4B03">
        <w:rPr>
          <w:rFonts w:ascii="Arial" w:eastAsia="MS Mincho" w:hAnsi="Arial" w:cs="Arial"/>
          <w:b/>
          <w:szCs w:val="24"/>
        </w:rPr>
        <w:t>Observation 2: From a receive processing perspective, it is desirable to employ fixed length RLC headers and a RLC header structu</w:t>
      </w:r>
      <w:r w:rsidR="00687FD6">
        <w:rPr>
          <w:rFonts w:ascii="Arial" w:eastAsia="MS Mincho" w:hAnsi="Arial" w:cs="Arial"/>
          <w:b/>
          <w:szCs w:val="24"/>
        </w:rPr>
        <w:t>re that is amenable for parall</w:t>
      </w:r>
      <w:r w:rsidR="004054A3">
        <w:rPr>
          <w:rFonts w:ascii="Arial" w:eastAsia="MS Mincho" w:hAnsi="Arial" w:cs="Arial"/>
          <w:b/>
          <w:szCs w:val="24"/>
        </w:rPr>
        <w:t>el</w:t>
      </w:r>
      <w:r w:rsidRPr="009B4B03">
        <w:rPr>
          <w:rFonts w:ascii="Arial" w:eastAsia="MS Mincho" w:hAnsi="Arial" w:cs="Arial"/>
          <w:b/>
          <w:szCs w:val="24"/>
        </w:rPr>
        <w:t xml:space="preserve"> processing. </w:t>
      </w:r>
    </w:p>
    <w:p w14:paraId="4F9F4310" w14:textId="4010DB80" w:rsidR="00F2089E" w:rsidRDefault="00F2089E" w:rsidP="00F2089E">
      <w:pPr>
        <w:pStyle w:val="Heading1"/>
        <w:rPr>
          <w:lang w:val="en-US" w:eastAsia="ko-KR"/>
        </w:rPr>
      </w:pPr>
      <w:r>
        <w:rPr>
          <w:lang w:val="en-US" w:eastAsia="ko-KR"/>
        </w:rPr>
        <w:lastRenderedPageBreak/>
        <w:t xml:space="preserve">3 </w:t>
      </w:r>
      <w:r w:rsidR="004A4817">
        <w:rPr>
          <w:lang w:val="en-US" w:eastAsia="ko-KR"/>
        </w:rPr>
        <w:t>NR RLC design</w:t>
      </w:r>
    </w:p>
    <w:p w14:paraId="4C54C65B" w14:textId="48BA214C" w:rsidR="004A4817" w:rsidRDefault="004A4817" w:rsidP="00561ACD">
      <w:pPr>
        <w:rPr>
          <w:rFonts w:ascii="Arial" w:eastAsia="MS Mincho" w:hAnsi="Arial"/>
          <w:szCs w:val="24"/>
        </w:rPr>
      </w:pPr>
      <w:r>
        <w:rPr>
          <w:rFonts w:ascii="Arial" w:eastAsia="MS Mincho" w:hAnsi="Arial"/>
          <w:szCs w:val="24"/>
        </w:rPr>
        <w:t xml:space="preserve">In this section, we describe </w:t>
      </w:r>
      <w:r w:rsidR="00705523">
        <w:rPr>
          <w:rFonts w:ascii="Arial" w:eastAsia="MS Mincho" w:hAnsi="Arial"/>
          <w:szCs w:val="24"/>
        </w:rPr>
        <w:t xml:space="preserve">our proposed alternative </w:t>
      </w:r>
      <w:r w:rsidR="002E5248">
        <w:rPr>
          <w:rFonts w:ascii="Arial" w:eastAsia="MS Mincho" w:hAnsi="Arial"/>
          <w:szCs w:val="24"/>
        </w:rPr>
        <w:t xml:space="preserve">for the NR RLC layer </w:t>
      </w:r>
      <w:r w:rsidR="002E1CC9">
        <w:rPr>
          <w:rFonts w:ascii="Arial" w:eastAsia="MS Mincho" w:hAnsi="Arial"/>
          <w:szCs w:val="24"/>
        </w:rPr>
        <w:t>based on previous RAN2 agreements and observat</w:t>
      </w:r>
      <w:r>
        <w:rPr>
          <w:rFonts w:ascii="Arial" w:eastAsia="MS Mincho" w:hAnsi="Arial"/>
          <w:szCs w:val="24"/>
        </w:rPr>
        <w:t xml:space="preserve">ions in the previous section. </w:t>
      </w:r>
    </w:p>
    <w:p w14:paraId="1F41BEC2" w14:textId="45CAE04E" w:rsidR="004A4817" w:rsidRDefault="00FA529A" w:rsidP="00561ACD">
      <w:pPr>
        <w:rPr>
          <w:rFonts w:ascii="Arial" w:eastAsia="MS Mincho" w:hAnsi="Arial"/>
          <w:szCs w:val="24"/>
        </w:rPr>
      </w:pPr>
      <w:r>
        <w:rPr>
          <w:rFonts w:ascii="Arial" w:eastAsia="MS Mincho" w:hAnsi="Arial"/>
          <w:szCs w:val="24"/>
        </w:rPr>
        <w:t xml:space="preserve">For simplicity, we describe first the case when the NR transmitter does not perform any segmentation (we deal with those aspects later). </w:t>
      </w:r>
      <w:r w:rsidR="00E34D0D">
        <w:rPr>
          <w:rFonts w:ascii="Arial" w:eastAsia="MS Mincho" w:hAnsi="Arial"/>
          <w:szCs w:val="24"/>
        </w:rPr>
        <w:t>O</w:t>
      </w:r>
      <w:r w:rsidR="007119FC">
        <w:rPr>
          <w:rFonts w:ascii="Arial" w:eastAsia="MS Mincho" w:hAnsi="Arial"/>
          <w:szCs w:val="24"/>
        </w:rPr>
        <w:t xml:space="preserve">ur proposed scheme </w:t>
      </w:r>
      <w:r w:rsidR="00E34D0D">
        <w:rPr>
          <w:rFonts w:ascii="Arial" w:eastAsia="MS Mincho" w:hAnsi="Arial"/>
          <w:szCs w:val="24"/>
        </w:rPr>
        <w:t xml:space="preserve">consists of two enhancements. The first enhancement </w:t>
      </w:r>
      <w:r w:rsidR="007119FC">
        <w:rPr>
          <w:rFonts w:ascii="Arial" w:eastAsia="MS Mincho" w:hAnsi="Arial"/>
          <w:szCs w:val="24"/>
        </w:rPr>
        <w:t>is to concatenate and/or segment sufficient number of PDCP PDUs to construct an RLC PDU of a size approximating some</w:t>
      </w:r>
      <w:r w:rsidR="00713025">
        <w:rPr>
          <w:rFonts w:ascii="Arial" w:eastAsia="MS Mincho" w:hAnsi="Arial"/>
          <w:szCs w:val="24"/>
        </w:rPr>
        <w:t xml:space="preserve"> configurable pre-fixed length</w:t>
      </w:r>
      <w:r w:rsidR="007119FC">
        <w:rPr>
          <w:rFonts w:ascii="Arial" w:eastAsia="MS Mincho" w:hAnsi="Arial"/>
          <w:szCs w:val="24"/>
        </w:rPr>
        <w:t xml:space="preserve">. An illustration of the pre-concatenation </w:t>
      </w:r>
      <w:r w:rsidR="00396280">
        <w:rPr>
          <w:rFonts w:ascii="Arial" w:eastAsia="MS Mincho" w:hAnsi="Arial"/>
          <w:szCs w:val="24"/>
        </w:rPr>
        <w:t>approach is provided in Figure 1</w:t>
      </w:r>
      <w:r w:rsidR="007119FC">
        <w:rPr>
          <w:rFonts w:ascii="Arial" w:eastAsia="MS Mincho" w:hAnsi="Arial"/>
          <w:szCs w:val="24"/>
        </w:rPr>
        <w:t>. Here, the gNB configur</w:t>
      </w:r>
      <w:r w:rsidR="00E34D0D">
        <w:rPr>
          <w:rFonts w:ascii="Arial" w:eastAsia="MS Mincho" w:hAnsi="Arial"/>
          <w:szCs w:val="24"/>
        </w:rPr>
        <w:t xml:space="preserve">es the RLC PDU </w:t>
      </w:r>
      <w:r w:rsidR="00713025">
        <w:rPr>
          <w:rFonts w:ascii="Arial" w:eastAsia="MS Mincho" w:hAnsi="Arial"/>
          <w:szCs w:val="24"/>
        </w:rPr>
        <w:t xml:space="preserve">payload </w:t>
      </w:r>
      <w:r w:rsidR="00E34D0D">
        <w:rPr>
          <w:rFonts w:ascii="Arial" w:eastAsia="MS Mincho" w:hAnsi="Arial"/>
          <w:szCs w:val="24"/>
        </w:rPr>
        <w:t>to be of length L</w:t>
      </w:r>
      <w:r w:rsidR="00713025">
        <w:rPr>
          <w:rFonts w:ascii="Arial" w:eastAsia="MS Mincho" w:hAnsi="Arial"/>
          <w:szCs w:val="24"/>
        </w:rPr>
        <w:t xml:space="preserve">. </w:t>
      </w:r>
      <w:r w:rsidR="008A7E8E">
        <w:rPr>
          <w:rFonts w:ascii="Arial" w:eastAsia="MS Mincho" w:hAnsi="Arial"/>
          <w:szCs w:val="24"/>
        </w:rPr>
        <w:t xml:space="preserve">Alternately, the UE could decide the value of L to use. </w:t>
      </w:r>
      <w:r w:rsidR="00571C87">
        <w:rPr>
          <w:rFonts w:ascii="Arial" w:eastAsia="MS Mincho" w:hAnsi="Arial"/>
          <w:szCs w:val="24"/>
        </w:rPr>
        <w:t xml:space="preserve">A variable length RLC header is then pre-constructed, based on </w:t>
      </w:r>
      <w:r w:rsidR="006C7B09">
        <w:rPr>
          <w:rFonts w:ascii="Arial" w:eastAsia="MS Mincho" w:hAnsi="Arial"/>
          <w:szCs w:val="24"/>
        </w:rPr>
        <w:t>the</w:t>
      </w:r>
      <w:r w:rsidR="00571C87">
        <w:rPr>
          <w:rFonts w:ascii="Arial" w:eastAsia="MS Mincho" w:hAnsi="Arial"/>
          <w:szCs w:val="24"/>
        </w:rPr>
        <w:t xml:space="preserve"> number of PDCP PDUs and/or PDCP PDU segments in the corresponding RLC PDU. </w:t>
      </w:r>
      <w:r w:rsidR="007E293A">
        <w:rPr>
          <w:rFonts w:ascii="Arial" w:eastAsia="MS Mincho" w:hAnsi="Arial"/>
          <w:szCs w:val="24"/>
        </w:rPr>
        <w:t xml:space="preserve">Occasionally, the UE may not have sufficient data to form full length RLC PDUs; in this case the </w:t>
      </w:r>
      <w:r w:rsidR="00713025">
        <w:rPr>
          <w:rFonts w:ascii="Arial" w:eastAsia="MS Mincho" w:hAnsi="Arial"/>
          <w:szCs w:val="24"/>
        </w:rPr>
        <w:t>UE constructs RLC PDUs that may be shorter than L</w:t>
      </w:r>
      <w:r w:rsidR="003D38FA">
        <w:rPr>
          <w:rFonts w:ascii="Arial" w:eastAsia="MS Mincho" w:hAnsi="Arial"/>
          <w:szCs w:val="24"/>
        </w:rPr>
        <w:t>.</w:t>
      </w:r>
    </w:p>
    <w:p w14:paraId="77F1EF8D" w14:textId="7078B733" w:rsidR="005339E3" w:rsidRDefault="003D506B" w:rsidP="00C941E8">
      <w:pPr>
        <w:pStyle w:val="Doc-title"/>
      </w:pPr>
      <w:r>
        <w:object w:dxaOrig="14821" w:dyaOrig="4636" w14:anchorId="758B9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35pt;height:163.9pt" o:ole="">
            <v:imagedata r:id="rId8" o:title=""/>
          </v:shape>
          <o:OLEObject Type="Embed" ProgID="Visio.Drawing.15" ShapeID="_x0000_i1025" DrawAspect="Content" ObjectID="_1539771579" r:id="rId9"/>
        </w:object>
      </w:r>
      <w:r>
        <w:tab/>
      </w:r>
      <w:r>
        <w:tab/>
      </w:r>
    </w:p>
    <w:p w14:paraId="79D9F41C" w14:textId="7B7BC271" w:rsidR="005339E3" w:rsidRDefault="005339E3" w:rsidP="005339E3">
      <w:pPr>
        <w:pStyle w:val="Caption"/>
        <w:jc w:val="center"/>
        <w:rPr>
          <w:rFonts w:ascii="Arial" w:eastAsia="MS Mincho" w:hAnsi="Arial"/>
          <w:bCs w:val="0"/>
          <w:color w:val="auto"/>
          <w:sz w:val="20"/>
          <w:szCs w:val="24"/>
        </w:rPr>
      </w:pPr>
      <w:r w:rsidRPr="005339E3">
        <w:rPr>
          <w:rFonts w:ascii="Arial" w:eastAsia="MS Mincho" w:hAnsi="Arial"/>
          <w:bCs w:val="0"/>
          <w:color w:val="auto"/>
          <w:sz w:val="20"/>
          <w:szCs w:val="24"/>
        </w:rPr>
        <w:t xml:space="preserve">Figure </w:t>
      </w:r>
      <w:r w:rsidRPr="005339E3">
        <w:rPr>
          <w:rFonts w:ascii="Arial" w:eastAsia="MS Mincho" w:hAnsi="Arial"/>
          <w:bCs w:val="0"/>
          <w:color w:val="auto"/>
          <w:sz w:val="20"/>
          <w:szCs w:val="24"/>
        </w:rPr>
        <w:fldChar w:fldCharType="begin"/>
      </w:r>
      <w:r w:rsidRPr="005339E3">
        <w:rPr>
          <w:rFonts w:ascii="Arial" w:eastAsia="MS Mincho" w:hAnsi="Arial"/>
          <w:bCs w:val="0"/>
          <w:color w:val="auto"/>
          <w:sz w:val="20"/>
          <w:szCs w:val="24"/>
        </w:rPr>
        <w:instrText xml:space="preserve"> SEQ Figure \* ARABIC </w:instrText>
      </w:r>
      <w:r w:rsidRPr="005339E3">
        <w:rPr>
          <w:rFonts w:ascii="Arial" w:eastAsia="MS Mincho" w:hAnsi="Arial"/>
          <w:bCs w:val="0"/>
          <w:color w:val="auto"/>
          <w:sz w:val="20"/>
          <w:szCs w:val="24"/>
        </w:rPr>
        <w:fldChar w:fldCharType="separate"/>
      </w:r>
      <w:r w:rsidR="00F1697C">
        <w:rPr>
          <w:rFonts w:ascii="Arial" w:eastAsia="MS Mincho" w:hAnsi="Arial"/>
          <w:bCs w:val="0"/>
          <w:noProof/>
          <w:color w:val="auto"/>
          <w:sz w:val="20"/>
          <w:szCs w:val="24"/>
        </w:rPr>
        <w:t>1</w:t>
      </w:r>
      <w:r w:rsidRPr="005339E3">
        <w:rPr>
          <w:rFonts w:ascii="Arial" w:eastAsia="MS Mincho" w:hAnsi="Arial"/>
          <w:bCs w:val="0"/>
          <w:color w:val="auto"/>
          <w:sz w:val="20"/>
          <w:szCs w:val="24"/>
        </w:rPr>
        <w:fldChar w:fldCharType="end"/>
      </w:r>
      <w:r w:rsidRPr="005339E3">
        <w:rPr>
          <w:rFonts w:ascii="Arial" w:eastAsia="MS Mincho" w:hAnsi="Arial"/>
          <w:bCs w:val="0"/>
          <w:color w:val="auto"/>
          <w:sz w:val="20"/>
          <w:szCs w:val="24"/>
        </w:rPr>
        <w:t>: NR RLC PDU construction</w:t>
      </w:r>
    </w:p>
    <w:p w14:paraId="1E79CE50" w14:textId="5E971A7B" w:rsidR="00BC6E27" w:rsidRDefault="008D28B9" w:rsidP="00396280">
      <w:pPr>
        <w:rPr>
          <w:rFonts w:ascii="Arial" w:eastAsia="MS Mincho" w:hAnsi="Arial"/>
          <w:szCs w:val="24"/>
        </w:rPr>
      </w:pPr>
      <w:r w:rsidRPr="008D28B9">
        <w:rPr>
          <w:rFonts w:ascii="Arial" w:eastAsia="MS Mincho" w:hAnsi="Arial"/>
          <w:szCs w:val="24"/>
        </w:rPr>
        <w:t xml:space="preserve">The second key enhancement </w:t>
      </w:r>
      <w:r>
        <w:rPr>
          <w:rFonts w:ascii="Arial" w:eastAsia="MS Mincho" w:hAnsi="Arial"/>
          <w:szCs w:val="24"/>
        </w:rPr>
        <w:t>in our proposal is related to the RLC header structure. As shown in Figure 1, the RLC header consists of a fixed part and a variable part. The fixed part indicates the RLC SN</w:t>
      </w:r>
      <w:r w:rsidR="002105D7">
        <w:rPr>
          <w:rFonts w:ascii="Arial" w:eastAsia="MS Mincho" w:hAnsi="Arial"/>
          <w:szCs w:val="24"/>
        </w:rPr>
        <w:t>, framing info (FI)</w:t>
      </w:r>
      <w:r w:rsidR="006C7B09">
        <w:rPr>
          <w:rFonts w:ascii="Arial" w:eastAsia="MS Mincho" w:hAnsi="Arial"/>
          <w:szCs w:val="24"/>
        </w:rPr>
        <w:t>, and</w:t>
      </w:r>
      <w:r>
        <w:rPr>
          <w:rFonts w:ascii="Arial" w:eastAsia="MS Mincho" w:hAnsi="Arial"/>
          <w:szCs w:val="24"/>
        </w:rPr>
        <w:t xml:space="preserve"> the number of PDCP PDUs and/or PDCP PDU segments that are part of the RLC PDU</w:t>
      </w:r>
      <w:r w:rsidR="00BC6E27">
        <w:rPr>
          <w:rFonts w:ascii="Arial" w:eastAsia="MS Mincho" w:hAnsi="Arial"/>
          <w:szCs w:val="24"/>
        </w:rPr>
        <w:t xml:space="preserve"> (denoted by N</w:t>
      </w:r>
      <w:r w:rsidR="002105D7">
        <w:rPr>
          <w:rFonts w:ascii="Arial" w:eastAsia="MS Mincho" w:hAnsi="Arial"/>
          <w:szCs w:val="24"/>
        </w:rPr>
        <w:t>P</w:t>
      </w:r>
      <w:r w:rsidR="00BC6E27">
        <w:rPr>
          <w:rFonts w:ascii="Arial" w:eastAsia="MS Mincho" w:hAnsi="Arial"/>
          <w:szCs w:val="24"/>
        </w:rPr>
        <w:t xml:space="preserve"> in Figure 1)</w:t>
      </w:r>
      <w:r>
        <w:rPr>
          <w:rFonts w:ascii="Arial" w:eastAsia="MS Mincho" w:hAnsi="Arial"/>
          <w:szCs w:val="24"/>
        </w:rPr>
        <w:t xml:space="preserve">. The variable part consists of length information </w:t>
      </w:r>
      <w:r w:rsidR="002105D7">
        <w:rPr>
          <w:rFonts w:ascii="Arial" w:eastAsia="MS Mincho" w:hAnsi="Arial"/>
          <w:szCs w:val="24"/>
        </w:rPr>
        <w:t xml:space="preserve">(LI) </w:t>
      </w:r>
      <w:r>
        <w:rPr>
          <w:rFonts w:ascii="Arial" w:eastAsia="MS Mincho" w:hAnsi="Arial"/>
          <w:szCs w:val="24"/>
        </w:rPr>
        <w:t xml:space="preserve">for each constituent PDCP PDU and/or PDCP PDU segment. Note that the NR receiver can determine the number of PDCP PDU (or segments) that are part of the RLC PDU by processing the fixed (and constant length) part of the RLC header. The variable part of the header consists of several sub-headers </w:t>
      </w:r>
      <w:r w:rsidR="00A34B0F">
        <w:rPr>
          <w:rFonts w:ascii="Arial" w:eastAsia="MS Mincho" w:hAnsi="Arial"/>
          <w:szCs w:val="24"/>
        </w:rPr>
        <w:t>and in general can be of different length in different RLC PDUs. However note that the size of each sub-header is constant.</w:t>
      </w:r>
    </w:p>
    <w:p w14:paraId="04E8ED9C" w14:textId="0670A26B" w:rsidR="00C5545F" w:rsidRDefault="004655D7" w:rsidP="00396280">
      <w:pPr>
        <w:rPr>
          <w:rFonts w:ascii="Arial" w:eastAsia="MS Mincho" w:hAnsi="Arial"/>
          <w:szCs w:val="24"/>
        </w:rPr>
      </w:pPr>
      <w:r>
        <w:rPr>
          <w:rFonts w:ascii="Arial" w:eastAsia="MS Mincho" w:hAnsi="Arial"/>
          <w:szCs w:val="24"/>
        </w:rPr>
        <w:t xml:space="preserve">Based on the size of the uplink grant and LCP procedure, segmentation of pre-constructed RLC PDUs may be required. </w:t>
      </w:r>
      <w:r w:rsidR="00C5545F">
        <w:rPr>
          <w:rFonts w:ascii="Arial" w:eastAsia="MS Mincho" w:hAnsi="Arial"/>
          <w:szCs w:val="24"/>
        </w:rPr>
        <w:t>In that case</w:t>
      </w:r>
      <w:r w:rsidR="00C05E1B">
        <w:rPr>
          <w:rFonts w:ascii="Arial" w:eastAsia="MS Mincho" w:hAnsi="Arial"/>
          <w:szCs w:val="24"/>
        </w:rPr>
        <w:t>,</w:t>
      </w:r>
      <w:r w:rsidR="00C5545F">
        <w:rPr>
          <w:rFonts w:ascii="Arial" w:eastAsia="MS Mincho" w:hAnsi="Arial"/>
          <w:szCs w:val="24"/>
        </w:rPr>
        <w:t xml:space="preserve"> additional SO and LSF fields needs to be added, but without changing the RLC SN as suggested in [</w:t>
      </w:r>
      <w:r w:rsidR="00C5545F">
        <w:rPr>
          <w:rFonts w:ascii="Arial" w:eastAsia="MS Mincho" w:hAnsi="Arial"/>
          <w:szCs w:val="24"/>
        </w:rPr>
        <w:fldChar w:fldCharType="begin"/>
      </w:r>
      <w:r w:rsidR="00C5545F">
        <w:rPr>
          <w:rFonts w:ascii="Arial" w:eastAsia="MS Mincho" w:hAnsi="Arial"/>
          <w:szCs w:val="24"/>
        </w:rPr>
        <w:instrText xml:space="preserve"> PAGEREF _Ref465662298 \h </w:instrText>
      </w:r>
      <w:r w:rsidR="00C5545F">
        <w:rPr>
          <w:rFonts w:ascii="Arial" w:eastAsia="MS Mincho" w:hAnsi="Arial"/>
          <w:szCs w:val="24"/>
        </w:rPr>
      </w:r>
      <w:r w:rsidR="00C5545F">
        <w:rPr>
          <w:rFonts w:ascii="Arial" w:eastAsia="MS Mincho" w:hAnsi="Arial"/>
          <w:szCs w:val="24"/>
        </w:rPr>
        <w:fldChar w:fldCharType="separate"/>
      </w:r>
      <w:r w:rsidR="00C5545F">
        <w:rPr>
          <w:rFonts w:ascii="Arial" w:eastAsia="MS Mincho" w:hAnsi="Arial"/>
          <w:noProof/>
          <w:szCs w:val="24"/>
        </w:rPr>
        <w:t>4</w:t>
      </w:r>
      <w:r w:rsidR="00C5545F">
        <w:rPr>
          <w:rFonts w:ascii="Arial" w:eastAsia="MS Mincho" w:hAnsi="Arial"/>
          <w:szCs w:val="24"/>
        </w:rPr>
        <w:fldChar w:fldCharType="end"/>
      </w:r>
      <w:r w:rsidR="00C5545F">
        <w:rPr>
          <w:rFonts w:ascii="Arial" w:eastAsia="MS Mincho" w:hAnsi="Arial"/>
          <w:szCs w:val="24"/>
        </w:rPr>
        <w:t>]. We note that, unlike in [</w:t>
      </w:r>
      <w:r w:rsidR="00C5545F">
        <w:rPr>
          <w:rFonts w:ascii="Arial" w:eastAsia="MS Mincho" w:hAnsi="Arial"/>
          <w:szCs w:val="24"/>
        </w:rPr>
        <w:fldChar w:fldCharType="begin"/>
      </w:r>
      <w:r w:rsidR="00C5545F">
        <w:rPr>
          <w:rFonts w:ascii="Arial" w:eastAsia="MS Mincho" w:hAnsi="Arial"/>
          <w:szCs w:val="24"/>
        </w:rPr>
        <w:instrText xml:space="preserve"> PAGEREF _Ref465662298 \h </w:instrText>
      </w:r>
      <w:r w:rsidR="00C5545F">
        <w:rPr>
          <w:rFonts w:ascii="Arial" w:eastAsia="MS Mincho" w:hAnsi="Arial"/>
          <w:szCs w:val="24"/>
        </w:rPr>
      </w:r>
      <w:r w:rsidR="00C5545F">
        <w:rPr>
          <w:rFonts w:ascii="Arial" w:eastAsia="MS Mincho" w:hAnsi="Arial"/>
          <w:szCs w:val="24"/>
        </w:rPr>
        <w:fldChar w:fldCharType="separate"/>
      </w:r>
      <w:r w:rsidR="00C5545F">
        <w:rPr>
          <w:rFonts w:ascii="Arial" w:eastAsia="MS Mincho" w:hAnsi="Arial"/>
          <w:noProof/>
          <w:szCs w:val="24"/>
        </w:rPr>
        <w:t>4</w:t>
      </w:r>
      <w:r w:rsidR="00C5545F">
        <w:rPr>
          <w:rFonts w:ascii="Arial" w:eastAsia="MS Mincho" w:hAnsi="Arial"/>
          <w:szCs w:val="24"/>
        </w:rPr>
        <w:fldChar w:fldCharType="end"/>
      </w:r>
      <w:r w:rsidR="00C5545F">
        <w:rPr>
          <w:rFonts w:ascii="Arial" w:eastAsia="MS Mincho" w:hAnsi="Arial"/>
          <w:szCs w:val="24"/>
        </w:rPr>
        <w:t xml:space="preserve">], the FI field is still needed because an RLC PDU can contains bits from different PDCP PDUs. </w:t>
      </w:r>
    </w:p>
    <w:p w14:paraId="17DEB36C" w14:textId="77777777" w:rsidR="00CD1E45" w:rsidRDefault="00216F07" w:rsidP="00396280">
      <w:pPr>
        <w:rPr>
          <w:rFonts w:ascii="Arial" w:eastAsia="MS Mincho" w:hAnsi="Arial"/>
          <w:szCs w:val="24"/>
        </w:rPr>
      </w:pPr>
      <w:r>
        <w:rPr>
          <w:rFonts w:ascii="Arial" w:eastAsia="MS Mincho" w:hAnsi="Arial"/>
          <w:szCs w:val="24"/>
        </w:rPr>
        <w:t>Th</w:t>
      </w:r>
      <w:r w:rsidR="00CD1E45">
        <w:rPr>
          <w:rFonts w:ascii="Arial" w:eastAsia="MS Mincho" w:hAnsi="Arial"/>
          <w:szCs w:val="24"/>
        </w:rPr>
        <w:t>ere are several questions about how the length of the RLC PDU payload (L) is chosen, as follows:</w:t>
      </w:r>
    </w:p>
    <w:p w14:paraId="7510E751" w14:textId="58613A51" w:rsidR="00CD1E45" w:rsidRPr="00CD1E45" w:rsidRDefault="00D84063" w:rsidP="00CD1E45">
      <w:pPr>
        <w:pStyle w:val="ListParagraph"/>
        <w:numPr>
          <w:ilvl w:val="0"/>
          <w:numId w:val="40"/>
        </w:numPr>
        <w:pBdr>
          <w:top w:val="single" w:sz="4" w:space="1" w:color="auto"/>
          <w:left w:val="single" w:sz="4" w:space="4" w:color="auto"/>
          <w:bottom w:val="single" w:sz="4" w:space="1" w:color="auto"/>
          <w:right w:val="single" w:sz="4" w:space="4" w:color="auto"/>
        </w:pBdr>
        <w:rPr>
          <w:rFonts w:ascii="Arial" w:eastAsia="MS Mincho" w:hAnsi="Arial"/>
          <w:sz w:val="20"/>
          <w:szCs w:val="20"/>
        </w:rPr>
      </w:pPr>
      <w:r>
        <w:rPr>
          <w:rFonts w:ascii="Arial" w:eastAsia="MS Mincho" w:hAnsi="Arial"/>
          <w:sz w:val="20"/>
          <w:szCs w:val="20"/>
        </w:rPr>
        <w:t>Who selects the length? UE or g</w:t>
      </w:r>
      <w:r w:rsidR="00CD1E45" w:rsidRPr="00CD1E45">
        <w:rPr>
          <w:rFonts w:ascii="Arial" w:eastAsia="MS Mincho" w:hAnsi="Arial"/>
          <w:sz w:val="20"/>
          <w:szCs w:val="20"/>
        </w:rPr>
        <w:t>NB</w:t>
      </w:r>
    </w:p>
    <w:p w14:paraId="4B8A14AF" w14:textId="7A730645" w:rsidR="00CD1E45" w:rsidRPr="00CD1E45" w:rsidRDefault="00CD1E45" w:rsidP="00CD1E45">
      <w:pPr>
        <w:pStyle w:val="ListParagraph"/>
        <w:numPr>
          <w:ilvl w:val="0"/>
          <w:numId w:val="40"/>
        </w:numPr>
        <w:pBdr>
          <w:top w:val="single" w:sz="4" w:space="1" w:color="auto"/>
          <w:left w:val="single" w:sz="4" w:space="4" w:color="auto"/>
          <w:bottom w:val="single" w:sz="4" w:space="1" w:color="auto"/>
          <w:right w:val="single" w:sz="4" w:space="4" w:color="auto"/>
        </w:pBdr>
        <w:rPr>
          <w:rFonts w:ascii="Arial" w:eastAsia="MS Mincho" w:hAnsi="Arial"/>
          <w:sz w:val="20"/>
          <w:szCs w:val="20"/>
        </w:rPr>
      </w:pPr>
      <w:r w:rsidRPr="00CD1E45">
        <w:rPr>
          <w:rFonts w:ascii="Arial" w:eastAsia="MS Mincho" w:hAnsi="Arial"/>
          <w:sz w:val="20"/>
          <w:szCs w:val="20"/>
        </w:rPr>
        <w:t>How</w:t>
      </w:r>
      <w:r w:rsidR="0040752E">
        <w:rPr>
          <w:rFonts w:ascii="Arial" w:eastAsia="MS Mincho" w:hAnsi="Arial"/>
          <w:sz w:val="20"/>
          <w:szCs w:val="20"/>
        </w:rPr>
        <w:t xml:space="preserve"> often can the configured value</w:t>
      </w:r>
      <w:r w:rsidRPr="00CD1E45">
        <w:rPr>
          <w:rFonts w:ascii="Arial" w:eastAsia="MS Mincho" w:hAnsi="Arial"/>
          <w:sz w:val="20"/>
          <w:szCs w:val="20"/>
        </w:rPr>
        <w:t xml:space="preserve"> change?</w:t>
      </w:r>
    </w:p>
    <w:p w14:paraId="72D53D97" w14:textId="5F0972FB" w:rsidR="00CD1E45" w:rsidRDefault="00CD1E45" w:rsidP="00CD1E45">
      <w:pPr>
        <w:pStyle w:val="ListParagraph"/>
        <w:numPr>
          <w:ilvl w:val="0"/>
          <w:numId w:val="40"/>
        </w:numPr>
        <w:pBdr>
          <w:top w:val="single" w:sz="4" w:space="1" w:color="auto"/>
          <w:left w:val="single" w:sz="4" w:space="4" w:color="auto"/>
          <w:bottom w:val="single" w:sz="4" w:space="1" w:color="auto"/>
          <w:right w:val="single" w:sz="4" w:space="4" w:color="auto"/>
        </w:pBdr>
        <w:rPr>
          <w:rFonts w:ascii="Arial" w:eastAsia="MS Mincho" w:hAnsi="Arial"/>
          <w:sz w:val="20"/>
          <w:szCs w:val="20"/>
        </w:rPr>
      </w:pPr>
      <w:r w:rsidRPr="00CD1E45">
        <w:rPr>
          <w:rFonts w:ascii="Arial" w:eastAsia="MS Mincho" w:hAnsi="Arial"/>
          <w:sz w:val="20"/>
          <w:szCs w:val="20"/>
        </w:rPr>
        <w:t>How is the length value changed? RRC messaging, MAC CE</w:t>
      </w:r>
      <w:r w:rsidR="0064414F">
        <w:rPr>
          <w:rFonts w:ascii="Arial" w:eastAsia="MS Mincho" w:hAnsi="Arial"/>
          <w:sz w:val="20"/>
          <w:szCs w:val="20"/>
        </w:rPr>
        <w:t>, PDCCH</w:t>
      </w:r>
    </w:p>
    <w:p w14:paraId="2CD0BDAD" w14:textId="5258A407" w:rsidR="0064414F" w:rsidRPr="00CD1E45" w:rsidRDefault="0064414F" w:rsidP="00CD1E45">
      <w:pPr>
        <w:pStyle w:val="ListParagraph"/>
        <w:numPr>
          <w:ilvl w:val="0"/>
          <w:numId w:val="40"/>
        </w:numPr>
        <w:pBdr>
          <w:top w:val="single" w:sz="4" w:space="1" w:color="auto"/>
          <w:left w:val="single" w:sz="4" w:space="4" w:color="auto"/>
          <w:bottom w:val="single" w:sz="4" w:space="1" w:color="auto"/>
          <w:right w:val="single" w:sz="4" w:space="4" w:color="auto"/>
        </w:pBdr>
        <w:rPr>
          <w:rFonts w:ascii="Arial" w:eastAsia="MS Mincho" w:hAnsi="Arial"/>
          <w:sz w:val="20"/>
          <w:szCs w:val="20"/>
        </w:rPr>
      </w:pPr>
      <w:r>
        <w:rPr>
          <w:rFonts w:ascii="Arial" w:eastAsia="MS Mincho" w:hAnsi="Arial"/>
          <w:sz w:val="20"/>
          <w:szCs w:val="20"/>
        </w:rPr>
        <w:t xml:space="preserve">How is a change in the value L </w:t>
      </w:r>
      <w:r w:rsidR="00820C00">
        <w:rPr>
          <w:rFonts w:ascii="Arial" w:eastAsia="MS Mincho" w:hAnsi="Arial"/>
          <w:sz w:val="20"/>
          <w:szCs w:val="20"/>
        </w:rPr>
        <w:t>effected? Immediately, or after some modification period etc.</w:t>
      </w:r>
    </w:p>
    <w:p w14:paraId="51CB4B3B" w14:textId="77777777" w:rsidR="0040752E" w:rsidRDefault="0040752E" w:rsidP="00396280">
      <w:pPr>
        <w:rPr>
          <w:rFonts w:ascii="Arial" w:eastAsia="MS Mincho" w:hAnsi="Arial"/>
          <w:szCs w:val="24"/>
        </w:rPr>
      </w:pPr>
    </w:p>
    <w:p w14:paraId="1798117A" w14:textId="499E7C9E" w:rsidR="005C0C68" w:rsidRDefault="005C0C68" w:rsidP="00396280">
      <w:pPr>
        <w:rPr>
          <w:rFonts w:ascii="Arial" w:eastAsia="MS Mincho" w:hAnsi="Arial"/>
          <w:szCs w:val="24"/>
        </w:rPr>
      </w:pPr>
      <w:r>
        <w:rPr>
          <w:rFonts w:ascii="Arial" w:eastAsia="MS Mincho" w:hAnsi="Arial"/>
          <w:szCs w:val="24"/>
        </w:rPr>
        <w:t xml:space="preserve">For example, </w:t>
      </w:r>
      <w:r w:rsidR="008F0466">
        <w:rPr>
          <w:rFonts w:ascii="Arial" w:eastAsia="MS Mincho" w:hAnsi="Arial"/>
          <w:szCs w:val="24"/>
        </w:rPr>
        <w:fldChar w:fldCharType="begin"/>
      </w:r>
      <w:r w:rsidR="008F0466">
        <w:rPr>
          <w:rFonts w:ascii="Arial" w:eastAsia="MS Mincho" w:hAnsi="Arial"/>
          <w:szCs w:val="24"/>
        </w:rPr>
        <w:instrText xml:space="preserve"> REF _Ref465664488 \r \h </w:instrText>
      </w:r>
      <w:r w:rsidR="008F0466">
        <w:rPr>
          <w:rFonts w:ascii="Arial" w:eastAsia="MS Mincho" w:hAnsi="Arial"/>
          <w:szCs w:val="24"/>
        </w:rPr>
      </w:r>
      <w:r w:rsidR="008F0466">
        <w:rPr>
          <w:rFonts w:ascii="Arial" w:eastAsia="MS Mincho" w:hAnsi="Arial"/>
          <w:szCs w:val="24"/>
        </w:rPr>
        <w:fldChar w:fldCharType="separate"/>
      </w:r>
      <w:r w:rsidR="008F0466">
        <w:rPr>
          <w:rFonts w:ascii="Arial" w:eastAsia="MS Mincho" w:hAnsi="Arial"/>
          <w:szCs w:val="24"/>
        </w:rPr>
        <w:t>[5]</w:t>
      </w:r>
      <w:r w:rsidR="008F0466">
        <w:rPr>
          <w:rFonts w:ascii="Arial" w:eastAsia="MS Mincho" w:hAnsi="Arial"/>
          <w:szCs w:val="24"/>
        </w:rPr>
        <w:fldChar w:fldCharType="end"/>
      </w:r>
      <w:r w:rsidR="008F0466">
        <w:rPr>
          <w:rFonts w:ascii="Arial" w:eastAsia="MS Mincho" w:hAnsi="Arial"/>
          <w:szCs w:val="24"/>
        </w:rPr>
        <w:t xml:space="preserve"> </w:t>
      </w:r>
      <w:r>
        <w:rPr>
          <w:rFonts w:ascii="Arial" w:eastAsia="MS Mincho" w:hAnsi="Arial"/>
          <w:szCs w:val="24"/>
        </w:rPr>
        <w:t>suggests that the length be chosen by the UE based on the UL scheduling grant</w:t>
      </w:r>
      <w:r w:rsidR="008F0466">
        <w:rPr>
          <w:rFonts w:ascii="Arial" w:eastAsia="MS Mincho" w:hAnsi="Arial"/>
          <w:szCs w:val="24"/>
        </w:rPr>
        <w:t xml:space="preserve"> history. </w:t>
      </w:r>
      <w:r w:rsidR="008F0466">
        <w:rPr>
          <w:rFonts w:ascii="Arial" w:eastAsia="MS Mincho" w:hAnsi="Arial"/>
          <w:szCs w:val="24"/>
        </w:rPr>
        <w:fldChar w:fldCharType="begin"/>
      </w:r>
      <w:r w:rsidR="008F0466">
        <w:rPr>
          <w:rFonts w:ascii="Arial" w:eastAsia="MS Mincho" w:hAnsi="Arial"/>
          <w:szCs w:val="24"/>
        </w:rPr>
        <w:instrText xml:space="preserve"> REF _Ref465664523 \r \h </w:instrText>
      </w:r>
      <w:r w:rsidR="008F0466">
        <w:rPr>
          <w:rFonts w:ascii="Arial" w:eastAsia="MS Mincho" w:hAnsi="Arial"/>
          <w:szCs w:val="24"/>
        </w:rPr>
      </w:r>
      <w:r w:rsidR="008F0466">
        <w:rPr>
          <w:rFonts w:ascii="Arial" w:eastAsia="MS Mincho" w:hAnsi="Arial"/>
          <w:szCs w:val="24"/>
        </w:rPr>
        <w:fldChar w:fldCharType="separate"/>
      </w:r>
      <w:r w:rsidR="008F0466">
        <w:rPr>
          <w:rFonts w:ascii="Arial" w:eastAsia="MS Mincho" w:hAnsi="Arial"/>
          <w:szCs w:val="24"/>
        </w:rPr>
        <w:t>[6]</w:t>
      </w:r>
      <w:r w:rsidR="008F0466">
        <w:rPr>
          <w:rFonts w:ascii="Arial" w:eastAsia="MS Mincho" w:hAnsi="Arial"/>
          <w:szCs w:val="24"/>
        </w:rPr>
        <w:fldChar w:fldCharType="end"/>
      </w:r>
      <w:r w:rsidR="008F0466">
        <w:rPr>
          <w:rFonts w:ascii="Arial" w:eastAsia="MS Mincho" w:hAnsi="Arial"/>
          <w:szCs w:val="24"/>
        </w:rPr>
        <w:t xml:space="preserve"> </w:t>
      </w:r>
      <w:r>
        <w:rPr>
          <w:rFonts w:ascii="Arial" w:eastAsia="MS Mincho" w:hAnsi="Arial"/>
          <w:szCs w:val="24"/>
        </w:rPr>
        <w:t>suggests that the value of L can be chosen by either the eNB or the UE</w:t>
      </w:r>
      <w:r w:rsidR="00216F07">
        <w:rPr>
          <w:rFonts w:ascii="Arial" w:eastAsia="MS Mincho" w:hAnsi="Arial"/>
          <w:szCs w:val="24"/>
        </w:rPr>
        <w:t>,</w:t>
      </w:r>
      <w:r>
        <w:rPr>
          <w:rFonts w:ascii="Arial" w:eastAsia="MS Mincho" w:hAnsi="Arial"/>
          <w:szCs w:val="24"/>
        </w:rPr>
        <w:t xml:space="preserve"> and </w:t>
      </w:r>
      <w:r w:rsidR="00216F07">
        <w:rPr>
          <w:rFonts w:ascii="Arial" w:eastAsia="MS Mincho" w:hAnsi="Arial"/>
          <w:szCs w:val="24"/>
        </w:rPr>
        <w:t xml:space="preserve">can </w:t>
      </w:r>
      <w:r>
        <w:rPr>
          <w:rFonts w:ascii="Arial" w:eastAsia="MS Mincho" w:hAnsi="Arial"/>
          <w:szCs w:val="24"/>
        </w:rPr>
        <w:t>depend on several parameters (</w:t>
      </w:r>
      <w:r w:rsidR="00216F07">
        <w:rPr>
          <w:rFonts w:ascii="Arial" w:eastAsia="MS Mincho" w:hAnsi="Arial"/>
          <w:szCs w:val="24"/>
        </w:rPr>
        <w:t xml:space="preserve">radio conditions, system load, and service characteristics). </w:t>
      </w:r>
    </w:p>
    <w:p w14:paraId="7B7DFDE3" w14:textId="1C962373" w:rsidR="00216F07" w:rsidRPr="0065373D" w:rsidRDefault="0065373D" w:rsidP="00396280">
      <w:pPr>
        <w:rPr>
          <w:rFonts w:ascii="Arial" w:eastAsia="MS Mincho" w:hAnsi="Arial"/>
          <w:b/>
          <w:szCs w:val="24"/>
        </w:rPr>
      </w:pPr>
      <w:r w:rsidRPr="0065373D">
        <w:rPr>
          <w:rFonts w:ascii="Arial" w:eastAsia="MS Mincho" w:hAnsi="Arial"/>
          <w:b/>
          <w:szCs w:val="24"/>
        </w:rPr>
        <w:t xml:space="preserve">Observation 3: There are several </w:t>
      </w:r>
      <w:r w:rsidR="006C7B09" w:rsidRPr="0065373D">
        <w:rPr>
          <w:rFonts w:ascii="Arial" w:eastAsia="MS Mincho" w:hAnsi="Arial"/>
          <w:b/>
          <w:szCs w:val="24"/>
        </w:rPr>
        <w:t>possibili</w:t>
      </w:r>
      <w:r w:rsidR="006C7B09">
        <w:rPr>
          <w:rFonts w:ascii="Arial" w:eastAsia="MS Mincho" w:hAnsi="Arial"/>
          <w:b/>
          <w:szCs w:val="24"/>
        </w:rPr>
        <w:t>t</w:t>
      </w:r>
      <w:r w:rsidR="006C7B09" w:rsidRPr="0065373D">
        <w:rPr>
          <w:rFonts w:ascii="Arial" w:eastAsia="MS Mincho" w:hAnsi="Arial"/>
          <w:b/>
          <w:szCs w:val="24"/>
        </w:rPr>
        <w:t>ies</w:t>
      </w:r>
      <w:r w:rsidRPr="0065373D">
        <w:rPr>
          <w:rFonts w:ascii="Arial" w:eastAsia="MS Mincho" w:hAnsi="Arial"/>
          <w:b/>
          <w:szCs w:val="24"/>
        </w:rPr>
        <w:t xml:space="preserve"> for how the</w:t>
      </w:r>
      <w:r w:rsidR="00216F07" w:rsidRPr="0065373D">
        <w:rPr>
          <w:rFonts w:ascii="Arial" w:eastAsia="MS Mincho" w:hAnsi="Arial"/>
          <w:b/>
          <w:szCs w:val="24"/>
        </w:rPr>
        <w:t xml:space="preserve"> pre-constructed RLC PDU length </w:t>
      </w:r>
      <w:r w:rsidRPr="0065373D">
        <w:rPr>
          <w:rFonts w:ascii="Arial" w:eastAsia="MS Mincho" w:hAnsi="Arial"/>
          <w:b/>
          <w:szCs w:val="24"/>
        </w:rPr>
        <w:t>can be chosen.</w:t>
      </w:r>
    </w:p>
    <w:p w14:paraId="18669C7D" w14:textId="160333CE" w:rsidR="002E1CC9" w:rsidRDefault="002E1CC9" w:rsidP="002E1CC9">
      <w:pPr>
        <w:pStyle w:val="Heading1"/>
        <w:rPr>
          <w:lang w:val="en-US" w:eastAsia="ko-KR"/>
        </w:rPr>
      </w:pPr>
      <w:r>
        <w:rPr>
          <w:lang w:val="en-US" w:eastAsia="ko-KR"/>
        </w:rPr>
        <w:t>4 Comparison</w:t>
      </w:r>
    </w:p>
    <w:p w14:paraId="5EE9B9DB" w14:textId="4F9C61ED" w:rsidR="00547241" w:rsidRDefault="002E1CC9" w:rsidP="0022437A">
      <w:pPr>
        <w:rPr>
          <w:rFonts w:ascii="Arial" w:eastAsia="MS Mincho" w:hAnsi="Arial"/>
          <w:szCs w:val="24"/>
        </w:rPr>
      </w:pPr>
      <w:r>
        <w:rPr>
          <w:rFonts w:ascii="Arial" w:eastAsia="MS Mincho" w:hAnsi="Arial"/>
          <w:szCs w:val="24"/>
        </w:rPr>
        <w:t>In this section, we compare our proposal RLC design of pre-concatenation (PC) with the alternative of moving RLC layer concatenation to the MAC layer (CM). For brevity, we refer to the former scheme as PC, and the latter scheme as CM.</w:t>
      </w:r>
      <w:r w:rsidR="0022437A" w:rsidRPr="0022437A">
        <w:rPr>
          <w:rFonts w:ascii="Arial" w:eastAsia="MS Mincho" w:hAnsi="Arial"/>
          <w:szCs w:val="24"/>
        </w:rPr>
        <w:t xml:space="preserve"> </w:t>
      </w:r>
      <w:r w:rsidR="000F7C88">
        <w:rPr>
          <w:rFonts w:ascii="Arial" w:eastAsia="MS Mincho" w:hAnsi="Arial"/>
          <w:szCs w:val="24"/>
        </w:rPr>
        <w:t>We also compare these schemes with the LTE baseline.</w:t>
      </w:r>
      <w:r w:rsidR="00644081">
        <w:rPr>
          <w:rFonts w:ascii="Arial" w:eastAsia="MS Mincho" w:hAnsi="Arial"/>
          <w:szCs w:val="24"/>
        </w:rPr>
        <w:t xml:space="preserve"> As decided</w:t>
      </w:r>
      <w:r w:rsidR="00547241">
        <w:rPr>
          <w:rFonts w:ascii="Arial" w:eastAsia="MS Mincho" w:hAnsi="Arial"/>
          <w:szCs w:val="24"/>
        </w:rPr>
        <w:t xml:space="preserve"> in RAN2#95BIS meeting, we discuss both </w:t>
      </w:r>
      <w:r w:rsidR="006C7B09">
        <w:rPr>
          <w:rFonts w:ascii="Arial" w:eastAsia="MS Mincho" w:hAnsi="Arial"/>
          <w:szCs w:val="24"/>
        </w:rPr>
        <w:t>implementation</w:t>
      </w:r>
      <w:r w:rsidR="00E71982">
        <w:rPr>
          <w:rFonts w:ascii="Arial" w:eastAsia="MS Mincho" w:hAnsi="Arial"/>
          <w:szCs w:val="24"/>
        </w:rPr>
        <w:t xml:space="preserve"> aspects (from </w:t>
      </w:r>
      <w:r w:rsidR="00547241">
        <w:rPr>
          <w:rFonts w:ascii="Arial" w:eastAsia="MS Mincho" w:hAnsi="Arial"/>
          <w:szCs w:val="24"/>
        </w:rPr>
        <w:t xml:space="preserve">transmit and </w:t>
      </w:r>
      <w:r w:rsidR="006C7B09">
        <w:rPr>
          <w:rFonts w:ascii="Arial" w:eastAsia="MS Mincho" w:hAnsi="Arial"/>
          <w:szCs w:val="24"/>
        </w:rPr>
        <w:t>receive</w:t>
      </w:r>
      <w:r w:rsidR="00547241">
        <w:rPr>
          <w:rFonts w:ascii="Arial" w:eastAsia="MS Mincho" w:hAnsi="Arial"/>
          <w:szCs w:val="24"/>
        </w:rPr>
        <w:t xml:space="preserve"> processing points of view) and overhead.</w:t>
      </w:r>
    </w:p>
    <w:p w14:paraId="2E2C7198" w14:textId="72CA833B" w:rsidR="000F7C88" w:rsidRDefault="000F7C88" w:rsidP="000F7C88">
      <w:pPr>
        <w:pStyle w:val="Heading2"/>
      </w:pPr>
      <w:r>
        <w:lastRenderedPageBreak/>
        <w:t xml:space="preserve">4.1 </w:t>
      </w:r>
      <w:r w:rsidR="00547241">
        <w:t>Implementation considerations</w:t>
      </w:r>
    </w:p>
    <w:p w14:paraId="0341F658" w14:textId="5B390809" w:rsidR="00547241" w:rsidRDefault="00D556C5" w:rsidP="00547241">
      <w:pPr>
        <w:rPr>
          <w:rFonts w:ascii="Arial" w:eastAsia="MS Mincho" w:hAnsi="Arial"/>
          <w:szCs w:val="24"/>
        </w:rPr>
      </w:pPr>
      <w:r>
        <w:rPr>
          <w:rFonts w:ascii="Arial" w:eastAsia="MS Mincho" w:hAnsi="Arial"/>
          <w:szCs w:val="24"/>
        </w:rPr>
        <w:t xml:space="preserve">In </w:t>
      </w:r>
      <w:r>
        <w:rPr>
          <w:rFonts w:ascii="Arial" w:eastAsia="MS Mincho" w:hAnsi="Arial"/>
          <w:szCs w:val="24"/>
        </w:rPr>
        <w:fldChar w:fldCharType="begin"/>
      </w:r>
      <w:r>
        <w:rPr>
          <w:rFonts w:ascii="Arial" w:eastAsia="MS Mincho" w:hAnsi="Arial"/>
          <w:szCs w:val="24"/>
        </w:rPr>
        <w:instrText xml:space="preserve"> REF _Ref465654796 \h </w:instrText>
      </w:r>
      <w:r>
        <w:rPr>
          <w:rFonts w:ascii="Arial" w:eastAsia="MS Mincho" w:hAnsi="Arial"/>
          <w:szCs w:val="24"/>
        </w:rPr>
      </w:r>
      <w:r>
        <w:rPr>
          <w:rFonts w:ascii="Arial" w:eastAsia="MS Mincho" w:hAnsi="Arial"/>
          <w:szCs w:val="24"/>
        </w:rPr>
        <w:fldChar w:fldCharType="separate"/>
      </w:r>
      <w:r w:rsidRPr="00547241">
        <w:rPr>
          <w:rFonts w:ascii="Arial" w:eastAsia="MS Mincho" w:hAnsi="Arial"/>
          <w:bCs/>
          <w:szCs w:val="24"/>
        </w:rPr>
        <w:t xml:space="preserve">Table </w:t>
      </w:r>
      <w:r>
        <w:rPr>
          <w:rFonts w:ascii="Arial" w:eastAsia="MS Mincho" w:hAnsi="Arial"/>
          <w:bCs/>
          <w:noProof/>
          <w:szCs w:val="24"/>
        </w:rPr>
        <w:t>1</w:t>
      </w:r>
      <w:r>
        <w:rPr>
          <w:rFonts w:ascii="Arial" w:eastAsia="MS Mincho" w:hAnsi="Arial"/>
          <w:szCs w:val="24"/>
        </w:rPr>
        <w:fldChar w:fldCharType="end"/>
      </w:r>
      <w:r w:rsidR="00F2478B">
        <w:rPr>
          <w:rFonts w:ascii="Arial" w:eastAsia="MS Mincho" w:hAnsi="Arial"/>
          <w:szCs w:val="24"/>
        </w:rPr>
        <w:t>, we compare some implementation aspects of PC, CM, and LTE.</w:t>
      </w:r>
    </w:p>
    <w:tbl>
      <w:tblPr>
        <w:tblStyle w:val="TableGrid"/>
        <w:tblW w:w="0" w:type="auto"/>
        <w:shd w:val="clear" w:color="auto" w:fill="FFFFFF" w:themeFill="background1"/>
        <w:tblLook w:val="04A0" w:firstRow="1" w:lastRow="0" w:firstColumn="1" w:lastColumn="0" w:noHBand="0" w:noVBand="1"/>
      </w:tblPr>
      <w:tblGrid>
        <w:gridCol w:w="2614"/>
        <w:gridCol w:w="2781"/>
        <w:gridCol w:w="2447"/>
        <w:gridCol w:w="2615"/>
      </w:tblGrid>
      <w:tr w:rsidR="00F2478B" w14:paraId="09D61A6C" w14:textId="77777777" w:rsidTr="00F2478B">
        <w:tc>
          <w:tcPr>
            <w:tcW w:w="2614" w:type="dxa"/>
            <w:shd w:val="clear" w:color="auto" w:fill="D9D9D9" w:themeFill="background1" w:themeFillShade="D9"/>
          </w:tcPr>
          <w:p w14:paraId="44FFD90C" w14:textId="0478534D" w:rsidR="00F2478B" w:rsidRDefault="00D556C5" w:rsidP="00B43A06">
            <w:pPr>
              <w:rPr>
                <w:rFonts w:ascii="Arial" w:eastAsia="MS Mincho" w:hAnsi="Arial"/>
                <w:szCs w:val="24"/>
              </w:rPr>
            </w:pPr>
            <w:r>
              <w:rPr>
                <w:rFonts w:ascii="Arial" w:eastAsia="MS Mincho" w:hAnsi="Arial"/>
                <w:szCs w:val="24"/>
              </w:rPr>
              <w:t>Implementation considerations</w:t>
            </w:r>
          </w:p>
        </w:tc>
        <w:tc>
          <w:tcPr>
            <w:tcW w:w="2781" w:type="dxa"/>
            <w:shd w:val="clear" w:color="auto" w:fill="D9D9D9" w:themeFill="background1" w:themeFillShade="D9"/>
          </w:tcPr>
          <w:p w14:paraId="26368697" w14:textId="7CFE1813" w:rsidR="00F2478B" w:rsidRDefault="00F2478B" w:rsidP="00B43A06">
            <w:pPr>
              <w:rPr>
                <w:rFonts w:ascii="Arial" w:eastAsia="MS Mincho" w:hAnsi="Arial"/>
                <w:szCs w:val="24"/>
              </w:rPr>
            </w:pPr>
            <w:r>
              <w:rPr>
                <w:rFonts w:ascii="Arial" w:eastAsia="MS Mincho" w:hAnsi="Arial"/>
                <w:szCs w:val="24"/>
              </w:rPr>
              <w:t>Pre-concat</w:t>
            </w:r>
            <w:r w:rsidR="00A01DBE">
              <w:rPr>
                <w:rFonts w:ascii="Arial" w:eastAsia="MS Mincho" w:hAnsi="Arial"/>
                <w:szCs w:val="24"/>
              </w:rPr>
              <w:t>enation with configurable RLC P</w:t>
            </w:r>
            <w:r>
              <w:rPr>
                <w:rFonts w:ascii="Arial" w:eastAsia="MS Mincho" w:hAnsi="Arial"/>
                <w:szCs w:val="24"/>
              </w:rPr>
              <w:t xml:space="preserve">DU of length </w:t>
            </w:r>
            <w:r w:rsidRPr="00B2389C">
              <w:rPr>
                <w:rFonts w:ascii="Cambria Math" w:eastAsia="MS Mincho" w:hAnsi="Cambria Math"/>
                <w:i/>
                <w:sz w:val="18"/>
                <w:szCs w:val="18"/>
              </w:rPr>
              <w:t>L</w:t>
            </w:r>
          </w:p>
        </w:tc>
        <w:tc>
          <w:tcPr>
            <w:tcW w:w="2447" w:type="dxa"/>
            <w:shd w:val="clear" w:color="auto" w:fill="D9D9D9" w:themeFill="background1" w:themeFillShade="D9"/>
          </w:tcPr>
          <w:p w14:paraId="14D6118B" w14:textId="77777777" w:rsidR="00F2478B" w:rsidRDefault="00F2478B" w:rsidP="00B43A06">
            <w:pPr>
              <w:rPr>
                <w:rFonts w:ascii="Arial" w:eastAsia="MS Mincho" w:hAnsi="Arial"/>
                <w:szCs w:val="24"/>
              </w:rPr>
            </w:pPr>
            <w:r>
              <w:rPr>
                <w:rFonts w:ascii="Arial" w:eastAsia="MS Mincho" w:hAnsi="Arial"/>
                <w:szCs w:val="24"/>
              </w:rPr>
              <w:t>Concatenation at MAC layer</w:t>
            </w:r>
          </w:p>
        </w:tc>
        <w:tc>
          <w:tcPr>
            <w:tcW w:w="2615" w:type="dxa"/>
            <w:shd w:val="clear" w:color="auto" w:fill="D9D9D9" w:themeFill="background1" w:themeFillShade="D9"/>
          </w:tcPr>
          <w:p w14:paraId="736BCE4B" w14:textId="77777777" w:rsidR="00F2478B" w:rsidRDefault="00F2478B" w:rsidP="00B43A06">
            <w:pPr>
              <w:rPr>
                <w:rFonts w:ascii="Arial" w:eastAsia="MS Mincho" w:hAnsi="Arial"/>
                <w:szCs w:val="24"/>
              </w:rPr>
            </w:pPr>
            <w:r>
              <w:rPr>
                <w:rFonts w:ascii="Arial" w:eastAsia="MS Mincho" w:hAnsi="Arial"/>
                <w:szCs w:val="24"/>
              </w:rPr>
              <w:t>LTE baseline</w:t>
            </w:r>
          </w:p>
        </w:tc>
      </w:tr>
      <w:tr w:rsidR="00F2478B" w14:paraId="43B46C6C" w14:textId="77777777" w:rsidTr="00F2478B">
        <w:tc>
          <w:tcPr>
            <w:tcW w:w="2614" w:type="dxa"/>
            <w:shd w:val="clear" w:color="auto" w:fill="FFFFFF" w:themeFill="background1"/>
          </w:tcPr>
          <w:p w14:paraId="75C0486B" w14:textId="254B7740" w:rsidR="00F2478B" w:rsidRDefault="00D556C5" w:rsidP="00B43A06">
            <w:pPr>
              <w:rPr>
                <w:rFonts w:ascii="Arial" w:eastAsia="MS Mincho" w:hAnsi="Arial"/>
                <w:szCs w:val="24"/>
              </w:rPr>
            </w:pPr>
            <w:r>
              <w:rPr>
                <w:rFonts w:ascii="Arial" w:eastAsia="MS Mincho" w:hAnsi="Arial"/>
                <w:szCs w:val="24"/>
              </w:rPr>
              <w:t>Permits pre-construction of RLC headers</w:t>
            </w:r>
          </w:p>
        </w:tc>
        <w:tc>
          <w:tcPr>
            <w:tcW w:w="2781" w:type="dxa"/>
            <w:shd w:val="clear" w:color="auto" w:fill="FFFFFF" w:themeFill="background1"/>
          </w:tcPr>
          <w:p w14:paraId="6CA730FF" w14:textId="3BD924E5" w:rsidR="00F2478B" w:rsidRPr="001D4B18" w:rsidRDefault="001D4B18" w:rsidP="001D4B18">
            <w:pPr>
              <w:jc w:val="center"/>
              <w:rPr>
                <w:rFonts w:ascii="Arial" w:eastAsia="MS Mincho" w:hAnsi="Arial"/>
              </w:rPr>
            </w:pPr>
            <w:r>
              <w:rPr>
                <w:rFonts w:ascii="Arial" w:eastAsia="MS Mincho" w:hAnsi="Arial"/>
              </w:rPr>
              <w:t>Yes</w:t>
            </w:r>
          </w:p>
        </w:tc>
        <w:tc>
          <w:tcPr>
            <w:tcW w:w="2447" w:type="dxa"/>
            <w:shd w:val="clear" w:color="auto" w:fill="FFFFFF" w:themeFill="background1"/>
          </w:tcPr>
          <w:p w14:paraId="650F97DA" w14:textId="14694973" w:rsidR="00F2478B" w:rsidRPr="001D4B18" w:rsidRDefault="001D4B18" w:rsidP="00B43A06">
            <w:pPr>
              <w:jc w:val="center"/>
              <w:rPr>
                <w:rFonts w:ascii="Arial" w:eastAsia="MS Mincho" w:hAnsi="Arial"/>
              </w:rPr>
            </w:pPr>
            <w:r>
              <w:rPr>
                <w:rFonts w:ascii="Arial" w:eastAsia="MS Mincho" w:hAnsi="Arial"/>
              </w:rPr>
              <w:t>Yes</w:t>
            </w:r>
          </w:p>
        </w:tc>
        <w:tc>
          <w:tcPr>
            <w:tcW w:w="2615" w:type="dxa"/>
            <w:shd w:val="clear" w:color="auto" w:fill="FFFFFF" w:themeFill="background1"/>
          </w:tcPr>
          <w:p w14:paraId="224171B8" w14:textId="2633759B" w:rsidR="00F2478B" w:rsidRPr="001D4B18" w:rsidRDefault="001D4B18" w:rsidP="00B43A06">
            <w:pPr>
              <w:jc w:val="center"/>
              <w:rPr>
                <w:rFonts w:ascii="Arial" w:eastAsia="MS Mincho" w:hAnsi="Arial"/>
              </w:rPr>
            </w:pPr>
            <w:r>
              <w:rPr>
                <w:rFonts w:ascii="Arial" w:eastAsia="MS Mincho" w:hAnsi="Arial"/>
              </w:rPr>
              <w:t>No</w:t>
            </w:r>
          </w:p>
        </w:tc>
      </w:tr>
      <w:tr w:rsidR="00F2478B" w14:paraId="2A0ADD94" w14:textId="77777777" w:rsidTr="00F2478B">
        <w:tc>
          <w:tcPr>
            <w:tcW w:w="2614" w:type="dxa"/>
            <w:shd w:val="clear" w:color="auto" w:fill="FFFFFF" w:themeFill="background1"/>
          </w:tcPr>
          <w:p w14:paraId="7BB03722" w14:textId="464379C3" w:rsidR="00F2478B" w:rsidRDefault="00D556C5" w:rsidP="00B43A06">
            <w:pPr>
              <w:rPr>
                <w:rFonts w:ascii="Arial" w:eastAsia="MS Mincho" w:hAnsi="Arial"/>
                <w:szCs w:val="24"/>
              </w:rPr>
            </w:pPr>
            <w:r>
              <w:rPr>
                <w:rFonts w:ascii="Arial" w:eastAsia="MS Mincho" w:hAnsi="Arial"/>
                <w:szCs w:val="24"/>
              </w:rPr>
              <w:t>Employs fixed length headers</w:t>
            </w:r>
          </w:p>
        </w:tc>
        <w:tc>
          <w:tcPr>
            <w:tcW w:w="2781" w:type="dxa"/>
            <w:shd w:val="clear" w:color="auto" w:fill="FFFFFF" w:themeFill="background1"/>
          </w:tcPr>
          <w:p w14:paraId="324013A1" w14:textId="60F1EC85" w:rsidR="00F2478B" w:rsidRPr="001D4B18" w:rsidRDefault="001D4B18" w:rsidP="00B43A06">
            <w:pPr>
              <w:jc w:val="center"/>
              <w:rPr>
                <w:rFonts w:ascii="Arial" w:eastAsia="MS Mincho" w:hAnsi="Arial"/>
              </w:rPr>
            </w:pPr>
            <w:r>
              <w:rPr>
                <w:rFonts w:ascii="Arial" w:eastAsia="MS Mincho" w:hAnsi="Arial"/>
              </w:rPr>
              <w:t>Yes (but variable number of headers per RLC PDU)</w:t>
            </w:r>
          </w:p>
        </w:tc>
        <w:tc>
          <w:tcPr>
            <w:tcW w:w="2447" w:type="dxa"/>
            <w:shd w:val="clear" w:color="auto" w:fill="FFFFFF" w:themeFill="background1"/>
          </w:tcPr>
          <w:p w14:paraId="5F3DE020" w14:textId="3C0B8368" w:rsidR="00F2478B" w:rsidRPr="001D4B18" w:rsidRDefault="001D4B18" w:rsidP="00B43A06">
            <w:pPr>
              <w:jc w:val="center"/>
              <w:rPr>
                <w:rFonts w:ascii="Arial" w:eastAsia="MS Mincho" w:hAnsi="Arial"/>
              </w:rPr>
            </w:pPr>
            <w:r>
              <w:rPr>
                <w:rFonts w:ascii="Arial" w:eastAsia="MS Mincho" w:hAnsi="Arial"/>
              </w:rPr>
              <w:t>Yes</w:t>
            </w:r>
          </w:p>
        </w:tc>
        <w:tc>
          <w:tcPr>
            <w:tcW w:w="2615" w:type="dxa"/>
            <w:shd w:val="clear" w:color="auto" w:fill="FFFFFF" w:themeFill="background1"/>
          </w:tcPr>
          <w:p w14:paraId="63CC2741" w14:textId="20BD0580" w:rsidR="00F2478B" w:rsidRPr="001D4B18" w:rsidRDefault="001D4B18" w:rsidP="00B43A06">
            <w:pPr>
              <w:jc w:val="center"/>
              <w:rPr>
                <w:rFonts w:ascii="Arial" w:eastAsia="MS Mincho" w:hAnsi="Arial"/>
              </w:rPr>
            </w:pPr>
            <w:r>
              <w:rPr>
                <w:rFonts w:ascii="Arial" w:eastAsia="MS Mincho" w:hAnsi="Arial"/>
              </w:rPr>
              <w:t>No</w:t>
            </w:r>
          </w:p>
        </w:tc>
      </w:tr>
      <w:tr w:rsidR="00F2478B" w14:paraId="1DD83092" w14:textId="77777777" w:rsidTr="00F2478B">
        <w:tc>
          <w:tcPr>
            <w:tcW w:w="2614" w:type="dxa"/>
            <w:shd w:val="clear" w:color="auto" w:fill="FFFFFF" w:themeFill="background1"/>
          </w:tcPr>
          <w:p w14:paraId="7DE33EFE" w14:textId="4A6E54EF" w:rsidR="00F2478B" w:rsidRDefault="00D556C5" w:rsidP="00B43A06">
            <w:pPr>
              <w:rPr>
                <w:rFonts w:ascii="Arial" w:eastAsia="MS Mincho" w:hAnsi="Arial"/>
                <w:szCs w:val="24"/>
              </w:rPr>
            </w:pPr>
            <w:r>
              <w:rPr>
                <w:rFonts w:ascii="Arial" w:eastAsia="MS Mincho" w:hAnsi="Arial"/>
                <w:szCs w:val="24"/>
              </w:rPr>
              <w:t>ARQ processing granularity</w:t>
            </w:r>
          </w:p>
        </w:tc>
        <w:tc>
          <w:tcPr>
            <w:tcW w:w="2781" w:type="dxa"/>
            <w:shd w:val="clear" w:color="auto" w:fill="FFFFFF" w:themeFill="background1"/>
          </w:tcPr>
          <w:p w14:paraId="11F49A60" w14:textId="104410FA" w:rsidR="00F2478B" w:rsidRPr="001D4B18" w:rsidRDefault="001D4B18" w:rsidP="00B43A06">
            <w:pPr>
              <w:jc w:val="center"/>
              <w:rPr>
                <w:rFonts w:ascii="Arial" w:eastAsia="MS Mincho" w:hAnsi="Arial"/>
              </w:rPr>
            </w:pPr>
            <w:r>
              <w:rPr>
                <w:rFonts w:ascii="Arial" w:eastAsia="MS Mincho" w:hAnsi="Arial"/>
              </w:rPr>
              <w:t>Per RLC PDU</w:t>
            </w:r>
          </w:p>
        </w:tc>
        <w:tc>
          <w:tcPr>
            <w:tcW w:w="2447" w:type="dxa"/>
            <w:shd w:val="clear" w:color="auto" w:fill="FFFFFF" w:themeFill="background1"/>
          </w:tcPr>
          <w:p w14:paraId="6FD31157" w14:textId="1E4BEE9C" w:rsidR="00F2478B" w:rsidRPr="001D4B18" w:rsidRDefault="001D4B18" w:rsidP="00B43A06">
            <w:pPr>
              <w:jc w:val="center"/>
              <w:rPr>
                <w:rFonts w:ascii="Arial" w:eastAsia="MS Mincho" w:hAnsi="Arial"/>
              </w:rPr>
            </w:pPr>
            <w:r>
              <w:rPr>
                <w:rFonts w:ascii="Arial" w:eastAsia="MS Mincho" w:hAnsi="Arial"/>
              </w:rPr>
              <w:t>Per PDCP PDU (IP packet)</w:t>
            </w:r>
          </w:p>
        </w:tc>
        <w:tc>
          <w:tcPr>
            <w:tcW w:w="2615" w:type="dxa"/>
            <w:shd w:val="clear" w:color="auto" w:fill="FFFFFF" w:themeFill="background1"/>
          </w:tcPr>
          <w:p w14:paraId="0F4D26DA" w14:textId="738CFD2E" w:rsidR="00F2478B" w:rsidRPr="001D4B18" w:rsidRDefault="001D4B18" w:rsidP="00B43A06">
            <w:pPr>
              <w:keepNext/>
              <w:jc w:val="center"/>
              <w:rPr>
                <w:rFonts w:ascii="Arial" w:eastAsia="MS Mincho" w:hAnsi="Arial"/>
              </w:rPr>
            </w:pPr>
            <w:r>
              <w:rPr>
                <w:rFonts w:ascii="Arial" w:eastAsia="MS Mincho" w:hAnsi="Arial"/>
              </w:rPr>
              <w:t>Per RLC PDU</w:t>
            </w:r>
          </w:p>
        </w:tc>
      </w:tr>
      <w:tr w:rsidR="00D556C5" w14:paraId="3937DC49" w14:textId="77777777" w:rsidTr="00F2478B">
        <w:tc>
          <w:tcPr>
            <w:tcW w:w="2614" w:type="dxa"/>
            <w:shd w:val="clear" w:color="auto" w:fill="FFFFFF" w:themeFill="background1"/>
          </w:tcPr>
          <w:p w14:paraId="5B511895" w14:textId="4214FB17" w:rsidR="00D556C5" w:rsidRDefault="001D4B18" w:rsidP="00B43A06">
            <w:pPr>
              <w:rPr>
                <w:rFonts w:ascii="Arial" w:eastAsia="MS Mincho" w:hAnsi="Arial"/>
                <w:szCs w:val="24"/>
              </w:rPr>
            </w:pPr>
            <w:r>
              <w:rPr>
                <w:rFonts w:ascii="Arial" w:eastAsia="MS Mincho" w:hAnsi="Arial"/>
                <w:szCs w:val="24"/>
              </w:rPr>
              <w:t>Dependence of RLC SN size on L1 rate</w:t>
            </w:r>
          </w:p>
        </w:tc>
        <w:tc>
          <w:tcPr>
            <w:tcW w:w="2781" w:type="dxa"/>
            <w:shd w:val="clear" w:color="auto" w:fill="FFFFFF" w:themeFill="background1"/>
          </w:tcPr>
          <w:p w14:paraId="5128E704" w14:textId="39F18ADB" w:rsidR="00D556C5" w:rsidRPr="001D4B18" w:rsidRDefault="001D4B18" w:rsidP="00B43A06">
            <w:pPr>
              <w:jc w:val="center"/>
              <w:rPr>
                <w:rFonts w:ascii="Arial" w:eastAsia="MS Mincho" w:hAnsi="Arial"/>
              </w:rPr>
            </w:pPr>
            <w:r>
              <w:rPr>
                <w:rFonts w:ascii="Arial" w:eastAsia="MS Mincho" w:hAnsi="Arial"/>
              </w:rPr>
              <w:t>No (for suitable choice of RLC payload length)</w:t>
            </w:r>
          </w:p>
        </w:tc>
        <w:tc>
          <w:tcPr>
            <w:tcW w:w="2447" w:type="dxa"/>
            <w:shd w:val="clear" w:color="auto" w:fill="FFFFFF" w:themeFill="background1"/>
          </w:tcPr>
          <w:p w14:paraId="29336AF5" w14:textId="0268C3D0" w:rsidR="00D556C5" w:rsidRPr="001D4B18" w:rsidRDefault="001D4B18" w:rsidP="00B43A06">
            <w:pPr>
              <w:jc w:val="center"/>
              <w:rPr>
                <w:rFonts w:ascii="Arial" w:eastAsia="MS Mincho" w:hAnsi="Arial"/>
              </w:rPr>
            </w:pPr>
            <w:r>
              <w:rPr>
                <w:rFonts w:ascii="Arial" w:eastAsia="MS Mincho" w:hAnsi="Arial"/>
              </w:rPr>
              <w:t>Yes</w:t>
            </w:r>
          </w:p>
        </w:tc>
        <w:tc>
          <w:tcPr>
            <w:tcW w:w="2615" w:type="dxa"/>
            <w:shd w:val="clear" w:color="auto" w:fill="FFFFFF" w:themeFill="background1"/>
          </w:tcPr>
          <w:p w14:paraId="349AFF10" w14:textId="082CA449" w:rsidR="00D556C5" w:rsidRPr="001D4B18" w:rsidRDefault="001D4B18" w:rsidP="00B43A06">
            <w:pPr>
              <w:keepNext/>
              <w:jc w:val="center"/>
              <w:rPr>
                <w:rFonts w:ascii="Arial" w:eastAsia="MS Mincho" w:hAnsi="Arial"/>
              </w:rPr>
            </w:pPr>
            <w:r>
              <w:rPr>
                <w:rFonts w:ascii="Arial" w:eastAsia="MS Mincho" w:hAnsi="Arial"/>
              </w:rPr>
              <w:t>No</w:t>
            </w:r>
          </w:p>
        </w:tc>
      </w:tr>
      <w:tr w:rsidR="001D4B18" w14:paraId="79F48E23" w14:textId="77777777" w:rsidTr="00F2478B">
        <w:tc>
          <w:tcPr>
            <w:tcW w:w="2614" w:type="dxa"/>
            <w:shd w:val="clear" w:color="auto" w:fill="FFFFFF" w:themeFill="background1"/>
          </w:tcPr>
          <w:p w14:paraId="6FF770FF" w14:textId="5F30C2F7" w:rsidR="001D4B18" w:rsidRDefault="001D4B18" w:rsidP="00B43A06">
            <w:pPr>
              <w:rPr>
                <w:rFonts w:ascii="Arial" w:eastAsia="MS Mincho" w:hAnsi="Arial"/>
                <w:szCs w:val="24"/>
              </w:rPr>
            </w:pPr>
            <w:r>
              <w:rPr>
                <w:rFonts w:ascii="Arial" w:eastAsia="MS Mincho" w:hAnsi="Arial"/>
                <w:szCs w:val="24"/>
              </w:rPr>
              <w:t>RLC + MAC overhead</w:t>
            </w:r>
            <w:r w:rsidR="00BA1229">
              <w:rPr>
                <w:rFonts w:ascii="Arial" w:eastAsia="MS Mincho" w:hAnsi="Arial"/>
                <w:szCs w:val="24"/>
              </w:rPr>
              <w:t xml:space="preserve"> per TTI</w:t>
            </w:r>
            <w:r>
              <w:rPr>
                <w:rFonts w:ascii="Arial" w:eastAsia="MS Mincho" w:hAnsi="Arial"/>
                <w:szCs w:val="24"/>
              </w:rPr>
              <w:t xml:space="preserve"> (See </w:t>
            </w:r>
            <w:r>
              <w:rPr>
                <w:rFonts w:ascii="Arial" w:eastAsia="MS Mincho" w:hAnsi="Arial"/>
                <w:szCs w:val="24"/>
              </w:rPr>
              <w:fldChar w:fldCharType="begin"/>
            </w:r>
            <w:r>
              <w:rPr>
                <w:rFonts w:ascii="Arial" w:eastAsia="MS Mincho" w:hAnsi="Arial"/>
                <w:szCs w:val="24"/>
              </w:rPr>
              <w:instrText xml:space="preserve"> REF _Ref465599827 \h </w:instrText>
            </w:r>
            <w:r>
              <w:rPr>
                <w:rFonts w:ascii="Arial" w:eastAsia="MS Mincho" w:hAnsi="Arial"/>
                <w:szCs w:val="24"/>
              </w:rPr>
            </w:r>
            <w:r>
              <w:rPr>
                <w:rFonts w:ascii="Arial" w:eastAsia="MS Mincho" w:hAnsi="Arial"/>
                <w:szCs w:val="24"/>
              </w:rPr>
              <w:fldChar w:fldCharType="separate"/>
            </w:r>
            <w:r w:rsidRPr="00547241">
              <w:rPr>
                <w:rFonts w:ascii="Arial" w:eastAsia="MS Mincho" w:hAnsi="Arial"/>
                <w:bCs/>
                <w:szCs w:val="24"/>
              </w:rPr>
              <w:t xml:space="preserve">Table </w:t>
            </w:r>
            <w:r>
              <w:rPr>
                <w:rFonts w:ascii="Arial" w:eastAsia="MS Mincho" w:hAnsi="Arial"/>
                <w:bCs/>
                <w:noProof/>
                <w:szCs w:val="24"/>
              </w:rPr>
              <w:t>2</w:t>
            </w:r>
            <w:r>
              <w:rPr>
                <w:rFonts w:ascii="Arial" w:eastAsia="MS Mincho" w:hAnsi="Arial"/>
                <w:szCs w:val="24"/>
              </w:rPr>
              <w:fldChar w:fldCharType="end"/>
            </w:r>
            <w:r>
              <w:rPr>
                <w:rFonts w:ascii="Arial" w:eastAsia="MS Mincho" w:hAnsi="Arial"/>
                <w:szCs w:val="24"/>
              </w:rPr>
              <w:t xml:space="preserve"> for details</w:t>
            </w:r>
            <w:r w:rsidR="00335F83">
              <w:rPr>
                <w:rFonts w:ascii="Arial" w:eastAsia="MS Mincho" w:hAnsi="Arial"/>
                <w:szCs w:val="24"/>
              </w:rPr>
              <w:t>)</w:t>
            </w:r>
          </w:p>
        </w:tc>
        <w:tc>
          <w:tcPr>
            <w:tcW w:w="2781" w:type="dxa"/>
            <w:shd w:val="clear" w:color="auto" w:fill="FFFFFF" w:themeFill="background1"/>
          </w:tcPr>
          <w:p w14:paraId="02B6D7DC" w14:textId="3C9EA87D" w:rsidR="001D4B18" w:rsidRDefault="000E460B" w:rsidP="00B43A06">
            <w:pPr>
              <w:jc w:val="center"/>
              <w:rPr>
                <w:rFonts w:ascii="Arial" w:eastAsia="MS Mincho" w:hAnsi="Arial"/>
              </w:rPr>
            </w:pPr>
            <m:oMathPara>
              <m:oMath>
                <m:f>
                  <m:fPr>
                    <m:ctrlPr>
                      <w:rPr>
                        <w:rFonts w:ascii="Cambria Math" w:eastAsia="MS Mincho" w:hAnsi="Cambria Math"/>
                        <w:i/>
                        <w:sz w:val="18"/>
                        <w:szCs w:val="18"/>
                      </w:rPr>
                    </m:ctrlPr>
                  </m:fPr>
                  <m:num>
                    <m:r>
                      <w:rPr>
                        <w:rFonts w:ascii="Cambria Math" w:eastAsia="MS Mincho" w:hAnsi="Cambria Math"/>
                        <w:sz w:val="18"/>
                        <w:szCs w:val="18"/>
                      </w:rPr>
                      <m:t>R×TTI</m:t>
                    </m:r>
                  </m:num>
                  <m:den>
                    <m:r>
                      <w:rPr>
                        <w:rFonts w:ascii="Cambria Math" w:eastAsia="MS Mincho" w:hAnsi="Cambria Math"/>
                        <w:sz w:val="18"/>
                        <w:szCs w:val="18"/>
                      </w:rPr>
                      <m:t>L</m:t>
                    </m:r>
                  </m:den>
                </m:f>
                <m:r>
                  <w:rPr>
                    <w:rFonts w:ascii="Cambria Math" w:eastAsia="MS Mincho" w:hAnsi="Cambria Math"/>
                    <w:sz w:val="18"/>
                    <w:szCs w:val="18"/>
                  </w:rPr>
                  <m:t>×</m:t>
                </m:r>
                <m:d>
                  <m:dPr>
                    <m:begChr m:val="["/>
                    <m:endChr m:val="]"/>
                    <m:ctrlPr>
                      <w:rPr>
                        <w:rFonts w:ascii="Cambria Math" w:eastAsia="MS Mincho" w:hAnsi="Cambria Math"/>
                        <w:i/>
                        <w:sz w:val="18"/>
                        <w:szCs w:val="18"/>
                      </w:rPr>
                    </m:ctrlPr>
                  </m:dPr>
                  <m:e>
                    <m:r>
                      <w:rPr>
                        <w:rFonts w:ascii="Cambria Math" w:eastAsia="MS Mincho" w:hAnsi="Cambria Math"/>
                        <w:sz w:val="18"/>
                        <w:szCs w:val="18"/>
                      </w:rPr>
                      <m:t xml:space="preserve">3+ </m:t>
                    </m:r>
                    <m:d>
                      <m:dPr>
                        <m:ctrlPr>
                          <w:rPr>
                            <w:rFonts w:ascii="Cambria Math" w:eastAsia="MS Mincho" w:hAnsi="Cambria Math"/>
                            <w:i/>
                            <w:sz w:val="18"/>
                            <w:szCs w:val="18"/>
                          </w:rPr>
                        </m:ctrlPr>
                      </m:dPr>
                      <m:e>
                        <m:f>
                          <m:fPr>
                            <m:ctrlPr>
                              <w:rPr>
                                <w:rFonts w:ascii="Cambria Math" w:eastAsia="MS Mincho" w:hAnsi="Cambria Math"/>
                                <w:i/>
                                <w:sz w:val="18"/>
                                <w:szCs w:val="18"/>
                              </w:rPr>
                            </m:ctrlPr>
                          </m:fPr>
                          <m:num>
                            <m:r>
                              <w:rPr>
                                <w:rFonts w:ascii="Cambria Math" w:eastAsia="MS Mincho" w:hAnsi="Cambria Math"/>
                                <w:sz w:val="18"/>
                                <w:szCs w:val="18"/>
                              </w:rPr>
                              <m:t>L</m:t>
                            </m:r>
                          </m:num>
                          <m:den>
                            <m:r>
                              <w:rPr>
                                <w:rFonts w:ascii="Cambria Math" w:eastAsia="MS Mincho" w:hAnsi="Cambria Math"/>
                                <w:sz w:val="18"/>
                                <w:szCs w:val="18"/>
                              </w:rPr>
                              <m:t>P</m:t>
                            </m:r>
                          </m:den>
                        </m:f>
                        <m:r>
                          <w:rPr>
                            <w:rFonts w:ascii="Cambria Math" w:eastAsia="MS Mincho" w:hAnsi="Cambria Math"/>
                            <w:sz w:val="18"/>
                            <w:szCs w:val="18"/>
                          </w:rPr>
                          <m:t>-1</m:t>
                        </m:r>
                      </m:e>
                    </m:d>
                    <m:r>
                      <w:rPr>
                        <w:rFonts w:ascii="Cambria Math" w:eastAsia="MS Mincho" w:hAnsi="Cambria Math"/>
                        <w:sz w:val="18"/>
                        <w:szCs w:val="18"/>
                      </w:rPr>
                      <m:t>×2</m:t>
                    </m:r>
                  </m:e>
                </m:d>
                <m:r>
                  <w:rPr>
                    <w:rFonts w:ascii="Cambria Math" w:eastAsia="MS Mincho" w:hAnsi="Cambria Math"/>
                    <w:sz w:val="18"/>
                    <w:szCs w:val="18"/>
                  </w:rPr>
                  <m:t>+3</m:t>
                </m:r>
              </m:oMath>
            </m:oMathPara>
          </w:p>
        </w:tc>
        <w:tc>
          <w:tcPr>
            <w:tcW w:w="2447" w:type="dxa"/>
            <w:shd w:val="clear" w:color="auto" w:fill="FFFFFF" w:themeFill="background1"/>
          </w:tcPr>
          <w:p w14:paraId="3B83B1B8" w14:textId="49BEFF98" w:rsidR="001D4B18" w:rsidRDefault="000E460B" w:rsidP="00B43A06">
            <w:pPr>
              <w:jc w:val="center"/>
              <w:rPr>
                <w:rFonts w:ascii="Arial" w:eastAsia="MS Mincho" w:hAnsi="Arial"/>
              </w:rPr>
            </w:pPr>
            <m:oMathPara>
              <m:oMath>
                <m:f>
                  <m:fPr>
                    <m:ctrlPr>
                      <w:rPr>
                        <w:rFonts w:ascii="Cambria Math" w:eastAsia="MS Mincho" w:hAnsi="Cambria Math"/>
                        <w:i/>
                        <w:sz w:val="18"/>
                        <w:szCs w:val="18"/>
                      </w:rPr>
                    </m:ctrlPr>
                  </m:fPr>
                  <m:num>
                    <m:r>
                      <w:rPr>
                        <w:rFonts w:ascii="Cambria Math" w:eastAsia="MS Mincho" w:hAnsi="Cambria Math"/>
                        <w:sz w:val="18"/>
                        <w:szCs w:val="18"/>
                      </w:rPr>
                      <m:t>R×TTI</m:t>
                    </m:r>
                  </m:num>
                  <m:den>
                    <m:r>
                      <w:rPr>
                        <w:rFonts w:ascii="Cambria Math" w:eastAsia="MS Mincho" w:hAnsi="Cambria Math"/>
                        <w:sz w:val="18"/>
                        <w:szCs w:val="18"/>
                      </w:rPr>
                      <m:t>P</m:t>
                    </m:r>
                  </m:den>
                </m:f>
                <m:r>
                  <w:rPr>
                    <w:rFonts w:ascii="Cambria Math" w:eastAsia="MS Mincho" w:hAnsi="Cambria Math"/>
                    <w:sz w:val="18"/>
                    <w:szCs w:val="18"/>
                  </w:rPr>
                  <m:t>×6</m:t>
                </m:r>
              </m:oMath>
            </m:oMathPara>
          </w:p>
        </w:tc>
        <w:tc>
          <w:tcPr>
            <w:tcW w:w="2615" w:type="dxa"/>
            <w:shd w:val="clear" w:color="auto" w:fill="FFFFFF" w:themeFill="background1"/>
          </w:tcPr>
          <w:p w14:paraId="4645AC6C" w14:textId="4F81F5C0" w:rsidR="001D4B18" w:rsidRDefault="001D4B18" w:rsidP="00B43A06">
            <w:pPr>
              <w:keepNext/>
              <w:jc w:val="center"/>
              <w:rPr>
                <w:rFonts w:ascii="Arial" w:eastAsia="MS Mincho" w:hAnsi="Arial"/>
              </w:rPr>
            </w:pPr>
            <m:oMathPara>
              <m:oMath>
                <m:r>
                  <w:rPr>
                    <w:rFonts w:ascii="Cambria Math" w:eastAsia="MS Mincho" w:hAnsi="Cambria Math"/>
                    <w:szCs w:val="24"/>
                  </w:rPr>
                  <m:t xml:space="preserve">6+ </m:t>
                </m:r>
                <m:d>
                  <m:dPr>
                    <m:ctrlPr>
                      <w:rPr>
                        <w:rFonts w:ascii="Cambria Math" w:eastAsia="MS Mincho" w:hAnsi="Cambria Math"/>
                        <w:i/>
                        <w:szCs w:val="24"/>
                      </w:rPr>
                    </m:ctrlPr>
                  </m:dPr>
                  <m:e>
                    <m:f>
                      <m:fPr>
                        <m:ctrlPr>
                          <w:rPr>
                            <w:rFonts w:ascii="Cambria Math" w:eastAsia="MS Mincho" w:hAnsi="Cambria Math"/>
                            <w:i/>
                            <w:szCs w:val="24"/>
                          </w:rPr>
                        </m:ctrlPr>
                      </m:fPr>
                      <m:num>
                        <m:r>
                          <w:rPr>
                            <w:rFonts w:ascii="Cambria Math" w:eastAsia="MS Mincho" w:hAnsi="Cambria Math"/>
                            <w:szCs w:val="24"/>
                          </w:rPr>
                          <m:t>R×TTI</m:t>
                        </m:r>
                      </m:num>
                      <m:den>
                        <m:r>
                          <w:rPr>
                            <w:rFonts w:ascii="Cambria Math" w:eastAsia="MS Mincho" w:hAnsi="Cambria Math"/>
                            <w:szCs w:val="24"/>
                          </w:rPr>
                          <m:t>P</m:t>
                        </m:r>
                      </m:den>
                    </m:f>
                    <m:r>
                      <w:rPr>
                        <w:rFonts w:ascii="Cambria Math" w:eastAsia="MS Mincho" w:hAnsi="Cambria Math"/>
                        <w:szCs w:val="24"/>
                      </w:rPr>
                      <m:t>-1</m:t>
                    </m:r>
                  </m:e>
                </m:d>
                <m:r>
                  <w:rPr>
                    <w:rFonts w:ascii="Cambria Math" w:eastAsia="MS Mincho" w:hAnsi="Cambria Math"/>
                    <w:szCs w:val="24"/>
                  </w:rPr>
                  <m:t>×2</m:t>
                </m:r>
              </m:oMath>
            </m:oMathPara>
          </w:p>
        </w:tc>
      </w:tr>
      <w:tr w:rsidR="007C4FE0" w14:paraId="3C2DCBE1" w14:textId="77777777" w:rsidTr="00F2478B">
        <w:tc>
          <w:tcPr>
            <w:tcW w:w="2614" w:type="dxa"/>
            <w:shd w:val="clear" w:color="auto" w:fill="FFFFFF" w:themeFill="background1"/>
          </w:tcPr>
          <w:p w14:paraId="2A72941A" w14:textId="43F3493C" w:rsidR="007C4FE0" w:rsidRDefault="007C4FE0" w:rsidP="00B43A06">
            <w:pPr>
              <w:rPr>
                <w:rFonts w:ascii="Arial" w:eastAsia="MS Mincho" w:hAnsi="Arial"/>
                <w:szCs w:val="24"/>
              </w:rPr>
            </w:pPr>
            <w:r>
              <w:rPr>
                <w:rFonts w:ascii="Arial" w:eastAsia="MS Mincho" w:hAnsi="Arial"/>
                <w:szCs w:val="24"/>
              </w:rPr>
              <w:t>Spectral efficiency</w:t>
            </w:r>
          </w:p>
        </w:tc>
        <w:tc>
          <w:tcPr>
            <w:tcW w:w="2781" w:type="dxa"/>
            <w:shd w:val="clear" w:color="auto" w:fill="FFFFFF" w:themeFill="background1"/>
          </w:tcPr>
          <w:p w14:paraId="08A87474" w14:textId="674D5C1C" w:rsidR="007C4FE0" w:rsidRPr="007C4FE0" w:rsidRDefault="007C4FE0" w:rsidP="00B43A06">
            <w:pPr>
              <w:jc w:val="center"/>
              <w:rPr>
                <w:rFonts w:ascii="Arial" w:eastAsia="MS Mincho" w:hAnsi="Arial"/>
              </w:rPr>
            </w:pPr>
            <w:r w:rsidRPr="007C4FE0">
              <w:rPr>
                <w:rFonts w:ascii="Arial" w:eastAsia="MS Mincho" w:hAnsi="Arial"/>
              </w:rPr>
              <w:t>Moderate</w:t>
            </w:r>
          </w:p>
        </w:tc>
        <w:tc>
          <w:tcPr>
            <w:tcW w:w="2447" w:type="dxa"/>
            <w:shd w:val="clear" w:color="auto" w:fill="FFFFFF" w:themeFill="background1"/>
          </w:tcPr>
          <w:p w14:paraId="418832CC" w14:textId="2C0C3809" w:rsidR="007C4FE0" w:rsidRPr="007C4FE0" w:rsidRDefault="00820C00" w:rsidP="00B43A06">
            <w:pPr>
              <w:jc w:val="center"/>
              <w:rPr>
                <w:rFonts w:ascii="Arial" w:eastAsia="MS Mincho" w:hAnsi="Arial"/>
              </w:rPr>
            </w:pPr>
            <w:r>
              <w:rPr>
                <w:rFonts w:ascii="Arial" w:eastAsia="MS Mincho" w:hAnsi="Arial"/>
              </w:rPr>
              <w:t>Moderate</w:t>
            </w:r>
          </w:p>
        </w:tc>
        <w:tc>
          <w:tcPr>
            <w:tcW w:w="2615" w:type="dxa"/>
            <w:shd w:val="clear" w:color="auto" w:fill="FFFFFF" w:themeFill="background1"/>
          </w:tcPr>
          <w:p w14:paraId="21119FD7" w14:textId="57A6BA9E" w:rsidR="007C4FE0" w:rsidRPr="007C4FE0" w:rsidRDefault="007C4FE0" w:rsidP="00B43A06">
            <w:pPr>
              <w:keepNext/>
              <w:jc w:val="center"/>
              <w:rPr>
                <w:rFonts w:ascii="Arial" w:eastAsia="MS Mincho" w:hAnsi="Arial"/>
              </w:rPr>
            </w:pPr>
            <w:r w:rsidRPr="007C4FE0">
              <w:rPr>
                <w:rFonts w:ascii="Arial" w:eastAsia="MS Mincho" w:hAnsi="Arial"/>
              </w:rPr>
              <w:t>High</w:t>
            </w:r>
          </w:p>
        </w:tc>
      </w:tr>
    </w:tbl>
    <w:p w14:paraId="72A48665" w14:textId="77777777" w:rsidR="00F2478B" w:rsidRDefault="00F2478B" w:rsidP="00F2478B">
      <w:pPr>
        <w:jc w:val="center"/>
        <w:rPr>
          <w:rFonts w:ascii="Arial" w:eastAsia="MS Mincho" w:hAnsi="Arial"/>
          <w:szCs w:val="24"/>
        </w:rPr>
      </w:pPr>
    </w:p>
    <w:p w14:paraId="742C1E3B" w14:textId="7D852531" w:rsidR="00F2478B" w:rsidRPr="00547241" w:rsidRDefault="00F2478B" w:rsidP="00F2478B">
      <w:pPr>
        <w:pStyle w:val="Caption"/>
        <w:jc w:val="center"/>
        <w:rPr>
          <w:rFonts w:ascii="Arial" w:eastAsia="MS Mincho" w:hAnsi="Arial"/>
          <w:bCs w:val="0"/>
          <w:color w:val="auto"/>
          <w:sz w:val="20"/>
          <w:szCs w:val="24"/>
        </w:rPr>
      </w:pPr>
      <w:bookmarkStart w:id="3" w:name="_Ref465654796"/>
      <w:r w:rsidRPr="00547241">
        <w:rPr>
          <w:rFonts w:ascii="Arial" w:eastAsia="MS Mincho" w:hAnsi="Arial"/>
          <w:bCs w:val="0"/>
          <w:color w:val="auto"/>
          <w:sz w:val="20"/>
          <w:szCs w:val="24"/>
        </w:rPr>
        <w:t xml:space="preserve">Table </w:t>
      </w:r>
      <w:r w:rsidRPr="00547241">
        <w:rPr>
          <w:rFonts w:ascii="Arial" w:eastAsia="MS Mincho" w:hAnsi="Arial"/>
          <w:bCs w:val="0"/>
          <w:color w:val="auto"/>
          <w:sz w:val="20"/>
          <w:szCs w:val="24"/>
        </w:rPr>
        <w:fldChar w:fldCharType="begin"/>
      </w:r>
      <w:r w:rsidRPr="00547241">
        <w:rPr>
          <w:rFonts w:ascii="Arial" w:eastAsia="MS Mincho" w:hAnsi="Arial"/>
          <w:bCs w:val="0"/>
          <w:color w:val="auto"/>
          <w:sz w:val="20"/>
          <w:szCs w:val="24"/>
        </w:rPr>
        <w:instrText xml:space="preserve"> SEQ Table \* ARABIC </w:instrText>
      </w:r>
      <w:r w:rsidRPr="00547241">
        <w:rPr>
          <w:rFonts w:ascii="Arial" w:eastAsia="MS Mincho" w:hAnsi="Arial"/>
          <w:bCs w:val="0"/>
          <w:color w:val="auto"/>
          <w:sz w:val="20"/>
          <w:szCs w:val="24"/>
        </w:rPr>
        <w:fldChar w:fldCharType="separate"/>
      </w:r>
      <w:r>
        <w:rPr>
          <w:rFonts w:ascii="Arial" w:eastAsia="MS Mincho" w:hAnsi="Arial"/>
          <w:bCs w:val="0"/>
          <w:noProof/>
          <w:color w:val="auto"/>
          <w:sz w:val="20"/>
          <w:szCs w:val="24"/>
        </w:rPr>
        <w:t>1</w:t>
      </w:r>
      <w:r w:rsidRPr="00547241">
        <w:rPr>
          <w:rFonts w:ascii="Arial" w:eastAsia="MS Mincho" w:hAnsi="Arial"/>
          <w:bCs w:val="0"/>
          <w:color w:val="auto"/>
          <w:sz w:val="20"/>
          <w:szCs w:val="24"/>
        </w:rPr>
        <w:fldChar w:fldCharType="end"/>
      </w:r>
      <w:bookmarkEnd w:id="3"/>
      <w:r w:rsidRPr="00547241">
        <w:rPr>
          <w:rFonts w:ascii="Arial" w:eastAsia="MS Mincho" w:hAnsi="Arial"/>
          <w:bCs w:val="0"/>
          <w:color w:val="auto"/>
          <w:sz w:val="20"/>
          <w:szCs w:val="24"/>
        </w:rPr>
        <w:t xml:space="preserve">: </w:t>
      </w:r>
      <w:r w:rsidR="00B720A7">
        <w:rPr>
          <w:rFonts w:ascii="Arial" w:eastAsia="MS Mincho" w:hAnsi="Arial"/>
          <w:bCs w:val="0"/>
          <w:color w:val="auto"/>
          <w:sz w:val="20"/>
          <w:szCs w:val="24"/>
        </w:rPr>
        <w:t>Implementation considerations for PC, CM, and LTE</w:t>
      </w:r>
    </w:p>
    <w:p w14:paraId="144141F1" w14:textId="06137F4B" w:rsidR="00F2478B" w:rsidRDefault="007C4FE0" w:rsidP="00547241">
      <w:pPr>
        <w:rPr>
          <w:rFonts w:ascii="Arial" w:eastAsia="MS Mincho" w:hAnsi="Arial"/>
          <w:szCs w:val="24"/>
        </w:rPr>
      </w:pPr>
      <w:r w:rsidRPr="007C4FE0">
        <w:rPr>
          <w:rFonts w:ascii="Arial" w:eastAsia="MS Mincho" w:hAnsi="Arial"/>
          <w:b/>
          <w:szCs w:val="24"/>
        </w:rPr>
        <w:t>Pre-construction of RLC headers:</w:t>
      </w:r>
      <w:r>
        <w:rPr>
          <w:rFonts w:ascii="Arial" w:eastAsia="MS Mincho" w:hAnsi="Arial"/>
          <w:szCs w:val="24"/>
        </w:rPr>
        <w:t xml:space="preserve"> </w:t>
      </w:r>
      <w:r w:rsidR="00B720A7">
        <w:rPr>
          <w:rFonts w:ascii="Arial" w:eastAsia="MS Mincho" w:hAnsi="Arial"/>
          <w:szCs w:val="24"/>
        </w:rPr>
        <w:t>We observe that unlike the LTE baseline, both PC and CM allow the use of pre-constructed RLC PDUs</w:t>
      </w:r>
      <w:r>
        <w:rPr>
          <w:rFonts w:ascii="Arial" w:eastAsia="MS Mincho" w:hAnsi="Arial"/>
          <w:szCs w:val="24"/>
        </w:rPr>
        <w:t xml:space="preserve">. As Observation 1 notes, this feature is the principal advantage of deviating from the LTE baseline to reduce Tx processing burden. </w:t>
      </w:r>
    </w:p>
    <w:p w14:paraId="3849EC50" w14:textId="10CAE5F6" w:rsidR="007C4FE0" w:rsidRDefault="007C4FE0" w:rsidP="00547241">
      <w:pPr>
        <w:rPr>
          <w:rFonts w:ascii="Arial" w:eastAsia="MS Mincho" w:hAnsi="Arial"/>
          <w:szCs w:val="24"/>
        </w:rPr>
      </w:pPr>
      <w:r w:rsidRPr="007C4FE0">
        <w:rPr>
          <w:rFonts w:ascii="Arial" w:eastAsia="MS Mincho" w:hAnsi="Arial"/>
          <w:b/>
          <w:szCs w:val="24"/>
        </w:rPr>
        <w:t>Use of fixed length headers:</w:t>
      </w:r>
      <w:r>
        <w:rPr>
          <w:rFonts w:ascii="Arial" w:eastAsia="MS Mincho" w:hAnsi="Arial"/>
          <w:szCs w:val="24"/>
        </w:rPr>
        <w:t xml:space="preserve"> Both PC and CM employ fixed length headers/sub-headers. As Observation 2 notes, such a header design allows for hardware acceleration of Rx processing, which is currently challenging with LTE baseline. In the case of PC, a variable number of fixed length RLC sub-headers is needed (one per PDCP PDU/PDU segment in the RLC PDU), but the use of the NP field (see Figure 1) makes is easy for the Rx to identify the number of PDCP fragments, enabling simultaneous processing</w:t>
      </w:r>
      <w:r w:rsidR="00A12960">
        <w:rPr>
          <w:rFonts w:ascii="Arial" w:eastAsia="MS Mincho" w:hAnsi="Arial"/>
          <w:szCs w:val="24"/>
        </w:rPr>
        <w:t xml:space="preserve">. </w:t>
      </w:r>
    </w:p>
    <w:p w14:paraId="2F009790" w14:textId="6DF2C8DB" w:rsidR="007C4FE0" w:rsidRDefault="007C4FE0" w:rsidP="00547241">
      <w:pPr>
        <w:rPr>
          <w:rFonts w:ascii="Arial" w:eastAsia="MS Mincho" w:hAnsi="Arial"/>
          <w:szCs w:val="24"/>
        </w:rPr>
      </w:pPr>
      <w:r w:rsidRPr="00A12960">
        <w:rPr>
          <w:rFonts w:ascii="Arial" w:eastAsia="MS Mincho" w:hAnsi="Arial"/>
          <w:b/>
          <w:szCs w:val="24"/>
        </w:rPr>
        <w:t>ARQ processing:</w:t>
      </w:r>
      <w:r>
        <w:rPr>
          <w:rFonts w:ascii="Arial" w:eastAsia="MS Mincho" w:hAnsi="Arial"/>
          <w:szCs w:val="24"/>
        </w:rPr>
        <w:t xml:space="preserve"> </w:t>
      </w:r>
      <w:r w:rsidR="00A12960">
        <w:rPr>
          <w:rFonts w:ascii="Arial" w:eastAsia="MS Mincho" w:hAnsi="Arial"/>
          <w:szCs w:val="24"/>
        </w:rPr>
        <w:t>With CM, ARQ needs to be perform</w:t>
      </w:r>
      <w:r w:rsidR="00C97996">
        <w:rPr>
          <w:rFonts w:ascii="Arial" w:eastAsia="MS Mincho" w:hAnsi="Arial"/>
          <w:szCs w:val="24"/>
        </w:rPr>
        <w:t>ed at the granularit</w:t>
      </w:r>
      <w:r w:rsidR="00A12960">
        <w:rPr>
          <w:rFonts w:ascii="Arial" w:eastAsia="MS Mincho" w:hAnsi="Arial"/>
          <w:szCs w:val="24"/>
        </w:rPr>
        <w:t xml:space="preserve">y of PDCP PDUs (IP packet). Using shorter packets </w:t>
      </w:r>
      <w:r w:rsidR="00335F83">
        <w:rPr>
          <w:rFonts w:ascii="Arial" w:eastAsia="MS Mincho" w:hAnsi="Arial"/>
          <w:szCs w:val="24"/>
        </w:rPr>
        <w:t xml:space="preserve">reduces retransmission burden, but results in increased ARQ processing overhead (including </w:t>
      </w:r>
      <w:r w:rsidR="006C7B09">
        <w:rPr>
          <w:rFonts w:ascii="Arial" w:eastAsia="MS Mincho" w:hAnsi="Arial"/>
          <w:szCs w:val="24"/>
        </w:rPr>
        <w:t>transmission</w:t>
      </w:r>
      <w:r w:rsidR="00335F83">
        <w:rPr>
          <w:rFonts w:ascii="Arial" w:eastAsia="MS Mincho" w:hAnsi="Arial"/>
          <w:szCs w:val="24"/>
        </w:rPr>
        <w:t xml:space="preserve"> of RLC status PDUs). Since t</w:t>
      </w:r>
      <w:r w:rsidR="00DA5488">
        <w:rPr>
          <w:rFonts w:ascii="Arial" w:eastAsia="MS Mincho" w:hAnsi="Arial"/>
          <w:szCs w:val="24"/>
        </w:rPr>
        <w:t>he PC mechanism allows the g</w:t>
      </w:r>
      <w:r w:rsidR="00335F83">
        <w:rPr>
          <w:rFonts w:ascii="Arial" w:eastAsia="MS Mincho" w:hAnsi="Arial"/>
          <w:szCs w:val="24"/>
        </w:rPr>
        <w:t xml:space="preserve">NB to vary the size of RLC PDU, it allows for greater flexibility </w:t>
      </w:r>
      <w:r w:rsidR="004C583D">
        <w:rPr>
          <w:rFonts w:ascii="Arial" w:eastAsia="MS Mincho" w:hAnsi="Arial"/>
          <w:szCs w:val="24"/>
        </w:rPr>
        <w:t>in managing ARQ overhead</w:t>
      </w:r>
      <w:r w:rsidR="00DA5488">
        <w:rPr>
          <w:rFonts w:ascii="Arial" w:eastAsia="MS Mincho" w:hAnsi="Arial"/>
          <w:szCs w:val="24"/>
        </w:rPr>
        <w:t>.</w:t>
      </w:r>
    </w:p>
    <w:p w14:paraId="2F0656A7" w14:textId="1AC51257" w:rsidR="00296EBC" w:rsidRDefault="00A123E9" w:rsidP="00547241">
      <w:pPr>
        <w:rPr>
          <w:rFonts w:ascii="Arial" w:eastAsia="MS Mincho" w:hAnsi="Arial"/>
          <w:szCs w:val="24"/>
        </w:rPr>
      </w:pPr>
      <w:r>
        <w:rPr>
          <w:rFonts w:ascii="Arial" w:eastAsia="MS Mincho" w:hAnsi="Arial"/>
          <w:b/>
          <w:szCs w:val="24"/>
        </w:rPr>
        <w:t>RLC</w:t>
      </w:r>
      <w:r w:rsidR="00DA5488" w:rsidRPr="00DA5488">
        <w:rPr>
          <w:rFonts w:ascii="Arial" w:eastAsia="MS Mincho" w:hAnsi="Arial"/>
          <w:b/>
          <w:szCs w:val="24"/>
        </w:rPr>
        <w:t xml:space="preserve"> SN size dimensioning: </w:t>
      </w:r>
      <w:r w:rsidR="00296EBC">
        <w:rPr>
          <w:rFonts w:ascii="Arial" w:eastAsia="MS Mincho" w:hAnsi="Arial"/>
          <w:szCs w:val="24"/>
        </w:rPr>
        <w:t xml:space="preserve">The RLC SN space has to be large enough to prevent transmission stalling and avoid SN ambiguity at the receiver. The RLC SN size required for a combination of </w:t>
      </w:r>
      <w:r w:rsidR="00BC4C67">
        <w:rPr>
          <w:rFonts w:ascii="Arial" w:eastAsia="MS Mincho" w:hAnsi="Arial"/>
          <w:szCs w:val="24"/>
        </w:rPr>
        <w:t xml:space="preserve">L1 </w:t>
      </w:r>
      <w:r w:rsidR="00296EBC">
        <w:rPr>
          <w:rFonts w:ascii="Arial" w:eastAsia="MS Mincho" w:hAnsi="Arial"/>
          <w:szCs w:val="24"/>
        </w:rPr>
        <w:t xml:space="preserve">date rate, RTT </w:t>
      </w:r>
      <w:r w:rsidR="00A8136A">
        <w:rPr>
          <w:rFonts w:ascii="Arial" w:eastAsia="MS Mincho" w:hAnsi="Arial"/>
          <w:szCs w:val="24"/>
        </w:rPr>
        <w:t xml:space="preserve">(including both HARQ and ARQ retransmissions) </w:t>
      </w:r>
      <w:r w:rsidR="00296EBC">
        <w:rPr>
          <w:rFonts w:ascii="Arial" w:eastAsia="MS Mincho" w:hAnsi="Arial"/>
          <w:szCs w:val="24"/>
        </w:rPr>
        <w:t xml:space="preserve">and RLC PDU length size (assuming the SN space is twice as large as the RLC window size) is given </w:t>
      </w:r>
      <w:r w:rsidR="006C7B09">
        <w:rPr>
          <w:rFonts w:ascii="Arial" w:eastAsia="MS Mincho" w:hAnsi="Arial"/>
          <w:szCs w:val="24"/>
        </w:rPr>
        <w:t>by</w:t>
      </w:r>
      <m:oMath>
        <m:r>
          <w:rPr>
            <w:rFonts w:ascii="Cambria Math" w:eastAsia="MS Mincho" w:hAnsi="Cambria Math"/>
            <w:szCs w:val="24"/>
          </w:rPr>
          <m:t xml:space="preserve"> </m:t>
        </m:r>
        <m:func>
          <m:funcPr>
            <m:ctrlPr>
              <w:rPr>
                <w:rFonts w:ascii="Cambria Math" w:eastAsia="MS Mincho" w:hAnsi="Cambria Math" w:cs="Arial"/>
                <w:i/>
                <w:szCs w:val="24"/>
              </w:rPr>
            </m:ctrlPr>
          </m:funcPr>
          <m:fName>
            <m:sSub>
              <m:sSubPr>
                <m:ctrlPr>
                  <w:rPr>
                    <w:rFonts w:ascii="Cambria Math" w:eastAsia="MS Mincho" w:hAnsi="Cambria Math" w:cs="Arial"/>
                    <w:i/>
                    <w:szCs w:val="24"/>
                  </w:rPr>
                </m:ctrlPr>
              </m:sSubPr>
              <m:e>
                <m:r>
                  <m:rPr>
                    <m:sty m:val="p"/>
                  </m:rPr>
                  <w:rPr>
                    <w:rFonts w:ascii="Cambria Math" w:eastAsia="MS Mincho" w:hAnsi="Cambria Math" w:cs="Arial"/>
                    <w:szCs w:val="24"/>
                  </w:rPr>
                  <m:t>log</m:t>
                </m:r>
              </m:e>
              <m:sub>
                <m:r>
                  <w:rPr>
                    <w:rFonts w:ascii="Cambria Math" w:eastAsia="MS Mincho" w:hAnsi="Cambria Math" w:cs="Arial"/>
                    <w:szCs w:val="24"/>
                  </w:rPr>
                  <m:t>2</m:t>
                </m:r>
              </m:sub>
            </m:sSub>
          </m:fName>
          <m:e>
            <m:d>
              <m:dPr>
                <m:ctrlPr>
                  <w:rPr>
                    <w:rFonts w:ascii="Cambria Math" w:eastAsia="MS Mincho" w:hAnsi="Cambria Math" w:cs="Arial"/>
                    <w:i/>
                    <w:szCs w:val="24"/>
                  </w:rPr>
                </m:ctrlPr>
              </m:dPr>
              <m:e>
                <m:f>
                  <m:fPr>
                    <m:ctrlPr>
                      <w:rPr>
                        <w:rFonts w:ascii="Cambria Math" w:eastAsia="MS Mincho" w:hAnsi="Cambria Math" w:cs="Arial"/>
                        <w:i/>
                        <w:szCs w:val="24"/>
                      </w:rPr>
                    </m:ctrlPr>
                  </m:fPr>
                  <m:num>
                    <m:r>
                      <w:rPr>
                        <w:rFonts w:ascii="Cambria Math" w:eastAsia="MS Mincho" w:hAnsi="Cambria Math" w:cs="Arial"/>
                        <w:szCs w:val="24"/>
                      </w:rPr>
                      <m:t>2×R×RTT</m:t>
                    </m:r>
                  </m:num>
                  <m:den>
                    <m:r>
                      <w:rPr>
                        <w:rFonts w:ascii="Cambria Math" w:eastAsia="MS Mincho" w:hAnsi="Cambria Math" w:cs="Arial"/>
                        <w:szCs w:val="24"/>
                      </w:rPr>
                      <m:t>L</m:t>
                    </m:r>
                  </m:den>
                </m:f>
              </m:e>
            </m:d>
          </m:e>
        </m:func>
      </m:oMath>
      <w:r w:rsidR="00296EBC" w:rsidRPr="00296EBC">
        <w:rPr>
          <w:rFonts w:ascii="Arial" w:eastAsia="MS Mincho" w:hAnsi="Arial" w:cs="Arial"/>
          <w:szCs w:val="24"/>
        </w:rPr>
        <w:t>.</w:t>
      </w:r>
      <w:r w:rsidR="00296EBC">
        <w:rPr>
          <w:rFonts w:ascii="Arial" w:eastAsia="MS Mincho" w:hAnsi="Arial"/>
          <w:szCs w:val="24"/>
        </w:rPr>
        <w:t xml:space="preserve"> </w:t>
      </w:r>
      <w:r w:rsidR="00BC4C67">
        <w:rPr>
          <w:rFonts w:ascii="Arial" w:eastAsia="MS Mincho" w:hAnsi="Arial"/>
          <w:szCs w:val="24"/>
        </w:rPr>
        <w:t xml:space="preserve">Unlike CM, both LTE and PC allow the RLC PDU size to scale with L1 rate, allowing the ratio </w:t>
      </w:r>
      <m:oMath>
        <m:f>
          <m:fPr>
            <m:ctrlPr>
              <w:rPr>
                <w:rFonts w:ascii="Cambria Math" w:eastAsia="MS Mincho" w:hAnsi="Cambria Math"/>
                <w:i/>
                <w:szCs w:val="24"/>
              </w:rPr>
            </m:ctrlPr>
          </m:fPr>
          <m:num>
            <m:r>
              <w:rPr>
                <w:rFonts w:ascii="Cambria Math" w:eastAsia="MS Mincho" w:hAnsi="Cambria Math"/>
                <w:szCs w:val="24"/>
              </w:rPr>
              <m:t>R</m:t>
            </m:r>
          </m:num>
          <m:den>
            <m:r>
              <w:rPr>
                <w:rFonts w:ascii="Cambria Math" w:eastAsia="MS Mincho" w:hAnsi="Cambria Math"/>
                <w:szCs w:val="24"/>
              </w:rPr>
              <m:t>L</m:t>
            </m:r>
          </m:den>
        </m:f>
      </m:oMath>
      <w:r w:rsidR="003A1A33">
        <w:rPr>
          <w:rFonts w:ascii="Arial" w:eastAsia="MS Mincho" w:hAnsi="Arial"/>
          <w:szCs w:val="24"/>
        </w:rPr>
        <w:t xml:space="preserve"> (and hence the RLC SN size) to be</w:t>
      </w:r>
      <w:r w:rsidR="00BC4C67">
        <w:rPr>
          <w:rFonts w:ascii="Arial" w:eastAsia="MS Mincho" w:hAnsi="Arial"/>
          <w:szCs w:val="24"/>
        </w:rPr>
        <w:t xml:space="preserve"> independent of L1 rate</w:t>
      </w:r>
      <w:r w:rsidR="00522A57">
        <w:rPr>
          <w:rFonts w:ascii="Arial" w:eastAsia="MS Mincho" w:hAnsi="Arial"/>
          <w:szCs w:val="24"/>
        </w:rPr>
        <w:t>.</w:t>
      </w:r>
    </w:p>
    <w:p w14:paraId="4A2CCEB5" w14:textId="25655C51" w:rsidR="00DA5488" w:rsidRPr="00296EBC" w:rsidRDefault="00E81E17" w:rsidP="00547241">
      <w:pPr>
        <w:rPr>
          <w:rFonts w:ascii="Arial" w:eastAsia="MS Mincho" w:hAnsi="Arial"/>
          <w:szCs w:val="24"/>
        </w:rPr>
      </w:pPr>
      <w:r w:rsidRPr="00E81E17">
        <w:rPr>
          <w:rFonts w:ascii="Arial" w:eastAsia="MS Mincho" w:hAnsi="Arial"/>
          <w:b/>
          <w:szCs w:val="24"/>
        </w:rPr>
        <w:t>Spectral efficiency:</w:t>
      </w:r>
      <w:r>
        <w:rPr>
          <w:rFonts w:ascii="Arial" w:eastAsia="MS Mincho" w:hAnsi="Arial"/>
          <w:szCs w:val="24"/>
        </w:rPr>
        <w:t xml:space="preserve"> The LTE baseline allows for maximum flexibility of the eNB scheduler since the RLC layer can accommodate any grant size. With PC, </w:t>
      </w:r>
      <w:r w:rsidR="009022F9">
        <w:rPr>
          <w:rFonts w:ascii="Arial" w:eastAsia="MS Mincho" w:hAnsi="Arial"/>
          <w:szCs w:val="24"/>
        </w:rPr>
        <w:t>there could be some loss of e</w:t>
      </w:r>
      <w:r w:rsidR="004408E1">
        <w:rPr>
          <w:rFonts w:ascii="Arial" w:eastAsia="MS Mincho" w:hAnsi="Arial"/>
          <w:szCs w:val="24"/>
        </w:rPr>
        <w:t>fficiency if the pre-constructed</w:t>
      </w:r>
      <w:r w:rsidR="009022F9">
        <w:rPr>
          <w:rFonts w:ascii="Arial" w:eastAsia="MS Mincho" w:hAnsi="Arial"/>
          <w:szCs w:val="24"/>
        </w:rPr>
        <w:t xml:space="preserve"> RLC PDU needs to be segmented. Also the header of the pre-constructed RLC PDU cannot be segmented. However, these appear to be rather minor inefficiencies.</w:t>
      </w:r>
    </w:p>
    <w:p w14:paraId="6F2230D7" w14:textId="1EF4E5E5" w:rsidR="00547241" w:rsidRPr="00547241" w:rsidRDefault="00547241" w:rsidP="00335F83">
      <w:pPr>
        <w:pStyle w:val="Heading2"/>
        <w:ind w:left="0" w:firstLine="0"/>
      </w:pPr>
      <w:r>
        <w:t>4.2 Overhead analysis</w:t>
      </w:r>
    </w:p>
    <w:p w14:paraId="6C8EC24E" w14:textId="1B11A1C3" w:rsidR="008C52BD" w:rsidRDefault="001B6F16" w:rsidP="0022437A">
      <w:pPr>
        <w:rPr>
          <w:rFonts w:ascii="Arial" w:eastAsia="MS Mincho" w:hAnsi="Arial"/>
          <w:szCs w:val="24"/>
        </w:rPr>
      </w:pPr>
      <w:r>
        <w:rPr>
          <w:rFonts w:ascii="Arial" w:eastAsia="MS Mincho" w:hAnsi="Arial"/>
          <w:szCs w:val="24"/>
        </w:rPr>
        <w:t>In this section we</w:t>
      </w:r>
      <w:r w:rsidR="000F7C88">
        <w:rPr>
          <w:rFonts w:ascii="Arial" w:eastAsia="MS Mincho" w:hAnsi="Arial"/>
          <w:szCs w:val="24"/>
        </w:rPr>
        <w:t xml:space="preserve"> consider the impact on overhead of different concatenation schemes as a function of system parameters</w:t>
      </w:r>
      <w:r>
        <w:rPr>
          <w:rFonts w:ascii="Arial" w:eastAsia="MS Mincho" w:hAnsi="Arial"/>
          <w:szCs w:val="24"/>
        </w:rPr>
        <w:t xml:space="preserve">. </w:t>
      </w:r>
      <w:r w:rsidR="000F7C88">
        <w:rPr>
          <w:rFonts w:ascii="Arial" w:eastAsia="MS Mincho" w:hAnsi="Arial"/>
          <w:szCs w:val="24"/>
        </w:rPr>
        <w:t xml:space="preserve">In </w:t>
      </w:r>
      <w:r w:rsidR="00BE7A63">
        <w:rPr>
          <w:rFonts w:ascii="Arial" w:eastAsia="MS Mincho" w:hAnsi="Arial"/>
          <w:szCs w:val="24"/>
        </w:rPr>
        <w:fldChar w:fldCharType="begin"/>
      </w:r>
      <w:r w:rsidR="00BE7A63">
        <w:rPr>
          <w:rFonts w:ascii="Arial" w:eastAsia="MS Mincho" w:hAnsi="Arial"/>
          <w:szCs w:val="24"/>
        </w:rPr>
        <w:instrText xml:space="preserve"> REF _Ref465599827 \h </w:instrText>
      </w:r>
      <w:r w:rsidR="00BE7A63">
        <w:rPr>
          <w:rFonts w:ascii="Arial" w:eastAsia="MS Mincho" w:hAnsi="Arial"/>
          <w:szCs w:val="24"/>
        </w:rPr>
      </w:r>
      <w:r w:rsidR="00BE7A63">
        <w:rPr>
          <w:rFonts w:ascii="Arial" w:eastAsia="MS Mincho" w:hAnsi="Arial"/>
          <w:szCs w:val="24"/>
        </w:rPr>
        <w:fldChar w:fldCharType="separate"/>
      </w:r>
      <w:r w:rsidR="00F2478B" w:rsidRPr="00547241">
        <w:rPr>
          <w:rFonts w:ascii="Arial" w:eastAsia="MS Mincho" w:hAnsi="Arial"/>
          <w:bCs/>
          <w:szCs w:val="24"/>
        </w:rPr>
        <w:t xml:space="preserve">Table </w:t>
      </w:r>
      <w:r w:rsidR="00F2478B">
        <w:rPr>
          <w:rFonts w:ascii="Arial" w:eastAsia="MS Mincho" w:hAnsi="Arial"/>
          <w:bCs/>
          <w:noProof/>
          <w:szCs w:val="24"/>
        </w:rPr>
        <w:t>2</w:t>
      </w:r>
      <w:r w:rsidR="00BE7A63">
        <w:rPr>
          <w:rFonts w:ascii="Arial" w:eastAsia="MS Mincho" w:hAnsi="Arial"/>
          <w:szCs w:val="24"/>
        </w:rPr>
        <w:fldChar w:fldCharType="end"/>
      </w:r>
      <w:r w:rsidR="000F7C88">
        <w:rPr>
          <w:rFonts w:ascii="Arial" w:eastAsia="MS Mincho" w:hAnsi="Arial"/>
          <w:szCs w:val="24"/>
        </w:rPr>
        <w:t xml:space="preserve">, we consider the RLC and MAC layer overhead of PC, CM, and LTE. In this analysis, we ignore the role of </w:t>
      </w:r>
      <w:r w:rsidR="007D3719">
        <w:rPr>
          <w:rFonts w:ascii="Arial" w:eastAsia="MS Mincho" w:hAnsi="Arial"/>
          <w:szCs w:val="24"/>
        </w:rPr>
        <w:t>PDCP layer since the PDCP overhead is assumed to be the same for all scheme.</w:t>
      </w:r>
    </w:p>
    <w:tbl>
      <w:tblPr>
        <w:tblStyle w:val="TableGrid"/>
        <w:tblW w:w="0" w:type="auto"/>
        <w:jc w:val="center"/>
        <w:shd w:val="clear" w:color="auto" w:fill="FFFFFF" w:themeFill="background1"/>
        <w:tblLook w:val="04A0" w:firstRow="1" w:lastRow="0" w:firstColumn="1" w:lastColumn="0" w:noHBand="0" w:noVBand="1"/>
      </w:tblPr>
      <w:tblGrid>
        <w:gridCol w:w="2614"/>
        <w:gridCol w:w="2781"/>
        <w:gridCol w:w="2447"/>
        <w:gridCol w:w="2615"/>
      </w:tblGrid>
      <w:tr w:rsidR="008C52BD" w14:paraId="028BDA40" w14:textId="77777777" w:rsidTr="00DB75CA">
        <w:trPr>
          <w:jc w:val="center"/>
        </w:trPr>
        <w:tc>
          <w:tcPr>
            <w:tcW w:w="2614" w:type="dxa"/>
            <w:shd w:val="clear" w:color="auto" w:fill="D9D9D9" w:themeFill="background1" w:themeFillShade="D9"/>
          </w:tcPr>
          <w:p w14:paraId="2917F4B0" w14:textId="1712D709" w:rsidR="008C52BD" w:rsidRDefault="008C52BD" w:rsidP="00A84041">
            <w:pPr>
              <w:rPr>
                <w:rFonts w:ascii="Arial" w:eastAsia="MS Mincho" w:hAnsi="Arial"/>
                <w:szCs w:val="24"/>
              </w:rPr>
            </w:pPr>
            <w:r>
              <w:rPr>
                <w:rFonts w:ascii="Arial" w:eastAsia="MS Mincho" w:hAnsi="Arial"/>
                <w:szCs w:val="24"/>
              </w:rPr>
              <w:t>System parameters:</w:t>
            </w:r>
          </w:p>
          <w:p w14:paraId="54A3B4EC" w14:textId="520C8060" w:rsidR="008C52BD" w:rsidRDefault="008C52BD" w:rsidP="00DB75CA">
            <w:pPr>
              <w:rPr>
                <w:rFonts w:ascii="Arial" w:eastAsia="MS Mincho" w:hAnsi="Arial"/>
                <w:szCs w:val="24"/>
              </w:rPr>
            </w:pPr>
            <w:r>
              <w:rPr>
                <w:rFonts w:ascii="Arial" w:eastAsia="MS Mincho" w:hAnsi="Arial"/>
                <w:szCs w:val="24"/>
              </w:rPr>
              <w:t>Rate (</w:t>
            </w:r>
            <w:r w:rsidRPr="00B2389C">
              <w:rPr>
                <w:rFonts w:ascii="Cambria Math" w:eastAsia="MS Mincho" w:hAnsi="Cambria Math"/>
                <w:i/>
                <w:sz w:val="18"/>
                <w:szCs w:val="18"/>
              </w:rPr>
              <w:t>R</w:t>
            </w:r>
            <w:r>
              <w:rPr>
                <w:rFonts w:ascii="Arial" w:eastAsia="MS Mincho" w:hAnsi="Arial"/>
                <w:szCs w:val="24"/>
              </w:rPr>
              <w:t>)</w:t>
            </w:r>
            <w:r w:rsidR="00B2389C">
              <w:rPr>
                <w:rFonts w:ascii="Arial" w:eastAsia="MS Mincho" w:hAnsi="Arial"/>
                <w:szCs w:val="24"/>
              </w:rPr>
              <w:t xml:space="preserve">, </w:t>
            </w:r>
            <w:r w:rsidR="00DB75CA">
              <w:rPr>
                <w:rFonts w:ascii="Arial" w:eastAsia="MS Mincho" w:hAnsi="Arial"/>
                <w:szCs w:val="24"/>
              </w:rPr>
              <w:t>Length of PDCP PDU (</w:t>
            </w:r>
            <w:r w:rsidRPr="00B2389C">
              <w:rPr>
                <w:rFonts w:ascii="Cambria Math" w:eastAsia="MS Mincho" w:hAnsi="Cambria Math"/>
                <w:i/>
                <w:sz w:val="18"/>
                <w:szCs w:val="18"/>
              </w:rPr>
              <w:t>P</w:t>
            </w:r>
            <w:r w:rsidR="00DB75CA">
              <w:rPr>
                <w:rFonts w:ascii="Cambria Math" w:eastAsia="MS Mincho" w:hAnsi="Cambria Math"/>
                <w:i/>
                <w:sz w:val="18"/>
                <w:szCs w:val="18"/>
              </w:rPr>
              <w:t>)</w:t>
            </w:r>
            <w:r w:rsidR="00DB75CA">
              <w:rPr>
                <w:rFonts w:ascii="Arial" w:eastAsia="MS Mincho" w:hAnsi="Arial"/>
                <w:szCs w:val="24"/>
              </w:rPr>
              <w:t xml:space="preserve"> length of TTI (</w:t>
            </w:r>
            <w:r w:rsidR="00DB75CA" w:rsidRPr="00DB75CA">
              <w:rPr>
                <w:rFonts w:ascii="Cambria Math" w:eastAsia="MS Mincho" w:hAnsi="Cambria Math"/>
                <w:i/>
                <w:sz w:val="18"/>
                <w:szCs w:val="18"/>
              </w:rPr>
              <w:t>TTI</w:t>
            </w:r>
            <w:r w:rsidR="00DB75CA">
              <w:rPr>
                <w:rFonts w:ascii="Arial" w:eastAsia="MS Mincho" w:hAnsi="Arial"/>
                <w:szCs w:val="24"/>
              </w:rPr>
              <w:t>)</w:t>
            </w:r>
          </w:p>
        </w:tc>
        <w:tc>
          <w:tcPr>
            <w:tcW w:w="2781" w:type="dxa"/>
            <w:shd w:val="clear" w:color="auto" w:fill="D9D9D9" w:themeFill="background1" w:themeFillShade="D9"/>
          </w:tcPr>
          <w:p w14:paraId="2760A04C" w14:textId="74B79DA7" w:rsidR="008C52BD" w:rsidRDefault="00A84041" w:rsidP="00B2389C">
            <w:pPr>
              <w:rPr>
                <w:rFonts w:ascii="Arial" w:eastAsia="MS Mincho" w:hAnsi="Arial"/>
                <w:szCs w:val="24"/>
              </w:rPr>
            </w:pPr>
            <w:r>
              <w:rPr>
                <w:rFonts w:ascii="Arial" w:eastAsia="MS Mincho" w:hAnsi="Arial"/>
                <w:szCs w:val="24"/>
              </w:rPr>
              <w:t>Pre-concat</w:t>
            </w:r>
            <w:r w:rsidR="004602F2">
              <w:rPr>
                <w:rFonts w:ascii="Arial" w:eastAsia="MS Mincho" w:hAnsi="Arial"/>
                <w:szCs w:val="24"/>
              </w:rPr>
              <w:t>enation with configurable RLC P</w:t>
            </w:r>
            <w:r>
              <w:rPr>
                <w:rFonts w:ascii="Arial" w:eastAsia="MS Mincho" w:hAnsi="Arial"/>
                <w:szCs w:val="24"/>
              </w:rPr>
              <w:t xml:space="preserve">DU </w:t>
            </w:r>
            <w:r w:rsidR="00B2389C">
              <w:rPr>
                <w:rFonts w:ascii="Arial" w:eastAsia="MS Mincho" w:hAnsi="Arial"/>
                <w:szCs w:val="24"/>
              </w:rPr>
              <w:t xml:space="preserve">of length </w:t>
            </w:r>
            <w:r w:rsidR="00B2389C" w:rsidRPr="00B2389C">
              <w:rPr>
                <w:rFonts w:ascii="Cambria Math" w:eastAsia="MS Mincho" w:hAnsi="Cambria Math"/>
                <w:i/>
                <w:sz w:val="18"/>
                <w:szCs w:val="18"/>
              </w:rPr>
              <w:t>L</w:t>
            </w:r>
          </w:p>
        </w:tc>
        <w:tc>
          <w:tcPr>
            <w:tcW w:w="2447" w:type="dxa"/>
            <w:shd w:val="clear" w:color="auto" w:fill="D9D9D9" w:themeFill="background1" w:themeFillShade="D9"/>
          </w:tcPr>
          <w:p w14:paraId="40F23FED" w14:textId="2CEC1124" w:rsidR="008C52BD" w:rsidRDefault="00A84041" w:rsidP="0022437A">
            <w:pPr>
              <w:rPr>
                <w:rFonts w:ascii="Arial" w:eastAsia="MS Mincho" w:hAnsi="Arial"/>
                <w:szCs w:val="24"/>
              </w:rPr>
            </w:pPr>
            <w:r>
              <w:rPr>
                <w:rFonts w:ascii="Arial" w:eastAsia="MS Mincho" w:hAnsi="Arial"/>
                <w:szCs w:val="24"/>
              </w:rPr>
              <w:t>Concatenation at MAC layer</w:t>
            </w:r>
          </w:p>
        </w:tc>
        <w:tc>
          <w:tcPr>
            <w:tcW w:w="2615" w:type="dxa"/>
            <w:shd w:val="clear" w:color="auto" w:fill="D9D9D9" w:themeFill="background1" w:themeFillShade="D9"/>
          </w:tcPr>
          <w:p w14:paraId="288B4968" w14:textId="775A6E9D" w:rsidR="008C52BD" w:rsidRDefault="00A84041" w:rsidP="0022437A">
            <w:pPr>
              <w:rPr>
                <w:rFonts w:ascii="Arial" w:eastAsia="MS Mincho" w:hAnsi="Arial"/>
                <w:szCs w:val="24"/>
              </w:rPr>
            </w:pPr>
            <w:r>
              <w:rPr>
                <w:rFonts w:ascii="Arial" w:eastAsia="MS Mincho" w:hAnsi="Arial"/>
                <w:szCs w:val="24"/>
              </w:rPr>
              <w:t>LTE baseline</w:t>
            </w:r>
          </w:p>
        </w:tc>
      </w:tr>
      <w:tr w:rsidR="008C52BD" w14:paraId="55792D92" w14:textId="77777777" w:rsidTr="00DB75CA">
        <w:trPr>
          <w:jc w:val="center"/>
        </w:trPr>
        <w:tc>
          <w:tcPr>
            <w:tcW w:w="2614" w:type="dxa"/>
            <w:shd w:val="clear" w:color="auto" w:fill="FFFFFF" w:themeFill="background1"/>
          </w:tcPr>
          <w:p w14:paraId="4A4076F5" w14:textId="30B1FBFC" w:rsidR="008C52BD" w:rsidRDefault="00A84041" w:rsidP="0022437A">
            <w:pPr>
              <w:rPr>
                <w:rFonts w:ascii="Arial" w:eastAsia="MS Mincho" w:hAnsi="Arial"/>
                <w:szCs w:val="24"/>
              </w:rPr>
            </w:pPr>
            <w:r>
              <w:rPr>
                <w:rFonts w:ascii="Arial" w:eastAsia="MS Mincho" w:hAnsi="Arial"/>
                <w:szCs w:val="24"/>
              </w:rPr>
              <w:lastRenderedPageBreak/>
              <w:t>RLC overhead per TTI</w:t>
            </w:r>
          </w:p>
        </w:tc>
        <w:tc>
          <w:tcPr>
            <w:tcW w:w="2781" w:type="dxa"/>
            <w:shd w:val="clear" w:color="auto" w:fill="FFFFFF" w:themeFill="background1"/>
          </w:tcPr>
          <w:p w14:paraId="26206734" w14:textId="1851FDAC" w:rsidR="008C52BD" w:rsidRPr="00B2389C" w:rsidRDefault="000E460B" w:rsidP="006C7A05">
            <w:pPr>
              <w:jc w:val="center"/>
              <w:rPr>
                <w:rFonts w:ascii="Arial" w:eastAsia="MS Mincho" w:hAnsi="Arial"/>
                <w:sz w:val="18"/>
                <w:szCs w:val="18"/>
              </w:rPr>
            </w:pPr>
            <m:oMathPara>
              <m:oMath>
                <m:f>
                  <m:fPr>
                    <m:ctrlPr>
                      <w:rPr>
                        <w:rFonts w:ascii="Cambria Math" w:eastAsia="MS Mincho" w:hAnsi="Cambria Math"/>
                        <w:i/>
                        <w:sz w:val="18"/>
                        <w:szCs w:val="18"/>
                      </w:rPr>
                    </m:ctrlPr>
                  </m:fPr>
                  <m:num>
                    <m:r>
                      <w:rPr>
                        <w:rFonts w:ascii="Cambria Math" w:eastAsia="MS Mincho" w:hAnsi="Cambria Math"/>
                        <w:sz w:val="18"/>
                        <w:szCs w:val="18"/>
                      </w:rPr>
                      <m:t>R×TTI</m:t>
                    </m:r>
                  </m:num>
                  <m:den>
                    <m:r>
                      <w:rPr>
                        <w:rFonts w:ascii="Cambria Math" w:eastAsia="MS Mincho" w:hAnsi="Cambria Math"/>
                        <w:sz w:val="18"/>
                        <w:szCs w:val="18"/>
                      </w:rPr>
                      <m:t>L</m:t>
                    </m:r>
                  </m:den>
                </m:f>
                <m:r>
                  <w:rPr>
                    <w:rFonts w:ascii="Cambria Math" w:eastAsia="MS Mincho" w:hAnsi="Cambria Math"/>
                    <w:sz w:val="18"/>
                    <w:szCs w:val="18"/>
                  </w:rPr>
                  <m:t>×</m:t>
                </m:r>
                <m:d>
                  <m:dPr>
                    <m:begChr m:val="["/>
                    <m:endChr m:val="]"/>
                    <m:ctrlPr>
                      <w:rPr>
                        <w:rFonts w:ascii="Cambria Math" w:eastAsia="MS Mincho" w:hAnsi="Cambria Math"/>
                        <w:i/>
                        <w:sz w:val="18"/>
                        <w:szCs w:val="18"/>
                      </w:rPr>
                    </m:ctrlPr>
                  </m:dPr>
                  <m:e>
                    <m:r>
                      <w:rPr>
                        <w:rFonts w:ascii="Cambria Math" w:eastAsia="MS Mincho" w:hAnsi="Cambria Math"/>
                        <w:sz w:val="18"/>
                        <w:szCs w:val="18"/>
                      </w:rPr>
                      <m:t xml:space="preserve">3+ </m:t>
                    </m:r>
                    <m:d>
                      <m:dPr>
                        <m:ctrlPr>
                          <w:rPr>
                            <w:rFonts w:ascii="Cambria Math" w:eastAsia="MS Mincho" w:hAnsi="Cambria Math"/>
                            <w:i/>
                            <w:sz w:val="18"/>
                            <w:szCs w:val="18"/>
                          </w:rPr>
                        </m:ctrlPr>
                      </m:dPr>
                      <m:e>
                        <m:f>
                          <m:fPr>
                            <m:ctrlPr>
                              <w:rPr>
                                <w:rFonts w:ascii="Cambria Math" w:eastAsia="MS Mincho" w:hAnsi="Cambria Math"/>
                                <w:i/>
                                <w:sz w:val="18"/>
                                <w:szCs w:val="18"/>
                              </w:rPr>
                            </m:ctrlPr>
                          </m:fPr>
                          <m:num>
                            <m:r>
                              <w:rPr>
                                <w:rFonts w:ascii="Cambria Math" w:eastAsia="MS Mincho" w:hAnsi="Cambria Math"/>
                                <w:sz w:val="18"/>
                                <w:szCs w:val="18"/>
                              </w:rPr>
                              <m:t>L</m:t>
                            </m:r>
                          </m:num>
                          <m:den>
                            <m:r>
                              <w:rPr>
                                <w:rFonts w:ascii="Cambria Math" w:eastAsia="MS Mincho" w:hAnsi="Cambria Math"/>
                                <w:sz w:val="18"/>
                                <w:szCs w:val="18"/>
                              </w:rPr>
                              <m:t>P</m:t>
                            </m:r>
                          </m:den>
                        </m:f>
                        <m:r>
                          <w:rPr>
                            <w:rFonts w:ascii="Cambria Math" w:eastAsia="MS Mincho" w:hAnsi="Cambria Math"/>
                            <w:sz w:val="18"/>
                            <w:szCs w:val="18"/>
                          </w:rPr>
                          <m:t>-1</m:t>
                        </m:r>
                      </m:e>
                    </m:d>
                    <m:r>
                      <w:rPr>
                        <w:rFonts w:ascii="Cambria Math" w:eastAsia="MS Mincho" w:hAnsi="Cambria Math"/>
                        <w:sz w:val="18"/>
                        <w:szCs w:val="18"/>
                      </w:rPr>
                      <m:t>×2</m:t>
                    </m:r>
                  </m:e>
                </m:d>
              </m:oMath>
            </m:oMathPara>
          </w:p>
        </w:tc>
        <w:tc>
          <w:tcPr>
            <w:tcW w:w="2447" w:type="dxa"/>
            <w:shd w:val="clear" w:color="auto" w:fill="FFFFFF" w:themeFill="background1"/>
          </w:tcPr>
          <w:p w14:paraId="44240A56" w14:textId="420C6FED" w:rsidR="008C52BD" w:rsidRDefault="000E460B" w:rsidP="006C7A05">
            <w:pPr>
              <w:jc w:val="center"/>
              <w:rPr>
                <w:rFonts w:ascii="Arial" w:eastAsia="MS Mincho" w:hAnsi="Arial"/>
                <w:szCs w:val="24"/>
              </w:rPr>
            </w:pPr>
            <m:oMathPara>
              <m:oMath>
                <m:f>
                  <m:fPr>
                    <m:ctrlPr>
                      <w:rPr>
                        <w:rFonts w:ascii="Cambria Math" w:eastAsia="MS Mincho" w:hAnsi="Cambria Math"/>
                        <w:i/>
                        <w:sz w:val="18"/>
                        <w:szCs w:val="18"/>
                      </w:rPr>
                    </m:ctrlPr>
                  </m:fPr>
                  <m:num>
                    <m:r>
                      <w:rPr>
                        <w:rFonts w:ascii="Cambria Math" w:eastAsia="MS Mincho" w:hAnsi="Cambria Math"/>
                        <w:sz w:val="18"/>
                        <w:szCs w:val="18"/>
                      </w:rPr>
                      <m:t>R×TTI</m:t>
                    </m:r>
                  </m:num>
                  <m:den>
                    <m:r>
                      <w:rPr>
                        <w:rFonts w:ascii="Cambria Math" w:eastAsia="MS Mincho" w:hAnsi="Cambria Math"/>
                        <w:sz w:val="18"/>
                        <w:szCs w:val="18"/>
                      </w:rPr>
                      <m:t>P</m:t>
                    </m:r>
                  </m:den>
                </m:f>
                <m:r>
                  <w:rPr>
                    <w:rFonts w:ascii="Cambria Math" w:eastAsia="MS Mincho" w:hAnsi="Cambria Math"/>
                    <w:sz w:val="18"/>
                    <w:szCs w:val="18"/>
                  </w:rPr>
                  <m:t>×3</m:t>
                </m:r>
              </m:oMath>
            </m:oMathPara>
          </w:p>
        </w:tc>
        <w:tc>
          <w:tcPr>
            <w:tcW w:w="2615" w:type="dxa"/>
            <w:shd w:val="clear" w:color="auto" w:fill="FFFFFF" w:themeFill="background1"/>
          </w:tcPr>
          <w:p w14:paraId="35AD53EB" w14:textId="78DCD980" w:rsidR="008C52BD" w:rsidRDefault="00DB75CA" w:rsidP="006C7A05">
            <w:pPr>
              <w:jc w:val="center"/>
              <w:rPr>
                <w:rFonts w:ascii="Arial" w:eastAsia="MS Mincho" w:hAnsi="Arial"/>
                <w:szCs w:val="24"/>
              </w:rPr>
            </w:pPr>
            <m:oMathPara>
              <m:oMath>
                <m:r>
                  <w:rPr>
                    <w:rFonts w:ascii="Cambria Math" w:eastAsia="MS Mincho" w:hAnsi="Cambria Math"/>
                    <w:szCs w:val="24"/>
                  </w:rPr>
                  <m:t xml:space="preserve">3+ </m:t>
                </m:r>
                <m:d>
                  <m:dPr>
                    <m:ctrlPr>
                      <w:rPr>
                        <w:rFonts w:ascii="Cambria Math" w:eastAsia="MS Mincho" w:hAnsi="Cambria Math"/>
                        <w:i/>
                        <w:szCs w:val="24"/>
                      </w:rPr>
                    </m:ctrlPr>
                  </m:dPr>
                  <m:e>
                    <m:f>
                      <m:fPr>
                        <m:ctrlPr>
                          <w:rPr>
                            <w:rFonts w:ascii="Cambria Math" w:eastAsia="MS Mincho" w:hAnsi="Cambria Math"/>
                            <w:i/>
                            <w:szCs w:val="24"/>
                          </w:rPr>
                        </m:ctrlPr>
                      </m:fPr>
                      <m:num>
                        <m:r>
                          <w:rPr>
                            <w:rFonts w:ascii="Cambria Math" w:eastAsia="MS Mincho" w:hAnsi="Cambria Math"/>
                            <w:szCs w:val="24"/>
                          </w:rPr>
                          <m:t>R×TTI</m:t>
                        </m:r>
                      </m:num>
                      <m:den>
                        <m:r>
                          <w:rPr>
                            <w:rFonts w:ascii="Cambria Math" w:eastAsia="MS Mincho" w:hAnsi="Cambria Math"/>
                            <w:szCs w:val="24"/>
                          </w:rPr>
                          <m:t>P</m:t>
                        </m:r>
                      </m:den>
                    </m:f>
                    <m:r>
                      <w:rPr>
                        <w:rFonts w:ascii="Cambria Math" w:eastAsia="MS Mincho" w:hAnsi="Cambria Math"/>
                        <w:szCs w:val="24"/>
                      </w:rPr>
                      <m:t>-1</m:t>
                    </m:r>
                  </m:e>
                </m:d>
                <m:r>
                  <w:rPr>
                    <w:rFonts w:ascii="Cambria Math" w:eastAsia="MS Mincho" w:hAnsi="Cambria Math"/>
                    <w:szCs w:val="24"/>
                  </w:rPr>
                  <m:t>×2</m:t>
                </m:r>
              </m:oMath>
            </m:oMathPara>
          </w:p>
        </w:tc>
      </w:tr>
      <w:tr w:rsidR="008C52BD" w14:paraId="45D78A48" w14:textId="77777777" w:rsidTr="00DB75CA">
        <w:trPr>
          <w:jc w:val="center"/>
        </w:trPr>
        <w:tc>
          <w:tcPr>
            <w:tcW w:w="2614" w:type="dxa"/>
            <w:shd w:val="clear" w:color="auto" w:fill="FFFFFF" w:themeFill="background1"/>
          </w:tcPr>
          <w:p w14:paraId="24D613A8" w14:textId="371CB11D" w:rsidR="008C52BD" w:rsidRDefault="00A84041" w:rsidP="0022437A">
            <w:pPr>
              <w:rPr>
                <w:rFonts w:ascii="Arial" w:eastAsia="MS Mincho" w:hAnsi="Arial"/>
                <w:szCs w:val="24"/>
              </w:rPr>
            </w:pPr>
            <w:r>
              <w:rPr>
                <w:rFonts w:ascii="Arial" w:eastAsia="MS Mincho" w:hAnsi="Arial"/>
                <w:szCs w:val="24"/>
              </w:rPr>
              <w:t>MAC overhead per TTI</w:t>
            </w:r>
          </w:p>
        </w:tc>
        <w:tc>
          <w:tcPr>
            <w:tcW w:w="2781" w:type="dxa"/>
            <w:shd w:val="clear" w:color="auto" w:fill="FFFFFF" w:themeFill="background1"/>
          </w:tcPr>
          <w:p w14:paraId="43BCD0CC" w14:textId="760A0C99" w:rsidR="008C52BD" w:rsidRPr="00DB75CA" w:rsidRDefault="00DB75CA" w:rsidP="006C7A05">
            <w:pPr>
              <w:jc w:val="center"/>
              <w:rPr>
                <w:rFonts w:ascii="Cambria Math" w:eastAsia="MS Mincho" w:hAnsi="Cambria Math"/>
                <w:sz w:val="18"/>
                <w:szCs w:val="18"/>
              </w:rPr>
            </w:pPr>
            <w:r w:rsidRPr="00DB75CA">
              <w:rPr>
                <w:rFonts w:ascii="Cambria Math" w:eastAsia="MS Mincho" w:hAnsi="Cambria Math"/>
                <w:sz w:val="18"/>
                <w:szCs w:val="18"/>
              </w:rPr>
              <w:t>3</w:t>
            </w:r>
          </w:p>
        </w:tc>
        <w:tc>
          <w:tcPr>
            <w:tcW w:w="2447" w:type="dxa"/>
            <w:shd w:val="clear" w:color="auto" w:fill="FFFFFF" w:themeFill="background1"/>
          </w:tcPr>
          <w:p w14:paraId="3DA307DD" w14:textId="1E3103E5" w:rsidR="008C52BD" w:rsidRDefault="000E460B" w:rsidP="006C7A05">
            <w:pPr>
              <w:jc w:val="center"/>
              <w:rPr>
                <w:rFonts w:ascii="Arial" w:eastAsia="MS Mincho" w:hAnsi="Arial"/>
                <w:szCs w:val="24"/>
              </w:rPr>
            </w:pPr>
            <m:oMathPara>
              <m:oMath>
                <m:f>
                  <m:fPr>
                    <m:ctrlPr>
                      <w:rPr>
                        <w:rFonts w:ascii="Cambria Math" w:eastAsia="MS Mincho" w:hAnsi="Cambria Math"/>
                        <w:i/>
                        <w:sz w:val="18"/>
                        <w:szCs w:val="18"/>
                      </w:rPr>
                    </m:ctrlPr>
                  </m:fPr>
                  <m:num>
                    <m:r>
                      <w:rPr>
                        <w:rFonts w:ascii="Cambria Math" w:eastAsia="MS Mincho" w:hAnsi="Cambria Math"/>
                        <w:sz w:val="18"/>
                        <w:szCs w:val="18"/>
                      </w:rPr>
                      <m:t>R×TTI</m:t>
                    </m:r>
                  </m:num>
                  <m:den>
                    <m:r>
                      <w:rPr>
                        <w:rFonts w:ascii="Cambria Math" w:eastAsia="MS Mincho" w:hAnsi="Cambria Math"/>
                        <w:sz w:val="18"/>
                        <w:szCs w:val="18"/>
                      </w:rPr>
                      <m:t>P</m:t>
                    </m:r>
                  </m:den>
                </m:f>
                <m:r>
                  <w:rPr>
                    <w:rFonts w:ascii="Cambria Math" w:eastAsia="MS Mincho" w:hAnsi="Cambria Math"/>
                    <w:sz w:val="18"/>
                    <w:szCs w:val="18"/>
                  </w:rPr>
                  <m:t>×3</m:t>
                </m:r>
              </m:oMath>
            </m:oMathPara>
          </w:p>
        </w:tc>
        <w:tc>
          <w:tcPr>
            <w:tcW w:w="2615" w:type="dxa"/>
            <w:shd w:val="clear" w:color="auto" w:fill="FFFFFF" w:themeFill="background1"/>
          </w:tcPr>
          <w:p w14:paraId="32717663" w14:textId="38176F60" w:rsidR="008C52BD" w:rsidRPr="00DB75CA" w:rsidRDefault="00DB75CA" w:rsidP="006C7A05">
            <w:pPr>
              <w:jc w:val="center"/>
              <w:rPr>
                <w:rFonts w:ascii="Arial" w:eastAsia="MS Mincho" w:hAnsi="Arial"/>
                <w:szCs w:val="24"/>
              </w:rPr>
            </w:pPr>
            <w:r w:rsidRPr="00DB75CA">
              <w:rPr>
                <w:rFonts w:ascii="Cambria Math" w:eastAsia="MS Mincho" w:hAnsi="Cambria Math"/>
                <w:sz w:val="18"/>
                <w:szCs w:val="18"/>
              </w:rPr>
              <w:t>3</w:t>
            </w:r>
          </w:p>
        </w:tc>
      </w:tr>
      <w:tr w:rsidR="008C52BD" w14:paraId="13D80FE6" w14:textId="77777777" w:rsidTr="00DB75CA">
        <w:trPr>
          <w:jc w:val="center"/>
        </w:trPr>
        <w:tc>
          <w:tcPr>
            <w:tcW w:w="2614" w:type="dxa"/>
            <w:shd w:val="clear" w:color="auto" w:fill="FFFFFF" w:themeFill="background1"/>
          </w:tcPr>
          <w:p w14:paraId="78E0CF95" w14:textId="62C372B6" w:rsidR="008C52BD" w:rsidRDefault="00A84041" w:rsidP="0022437A">
            <w:pPr>
              <w:rPr>
                <w:rFonts w:ascii="Arial" w:eastAsia="MS Mincho" w:hAnsi="Arial"/>
                <w:szCs w:val="24"/>
              </w:rPr>
            </w:pPr>
            <w:r>
              <w:rPr>
                <w:rFonts w:ascii="Arial" w:eastAsia="MS Mincho" w:hAnsi="Arial"/>
                <w:szCs w:val="24"/>
              </w:rPr>
              <w:t>Net overhead per TTI</w:t>
            </w:r>
          </w:p>
        </w:tc>
        <w:tc>
          <w:tcPr>
            <w:tcW w:w="2781" w:type="dxa"/>
            <w:shd w:val="clear" w:color="auto" w:fill="FFFFFF" w:themeFill="background1"/>
          </w:tcPr>
          <w:p w14:paraId="638888C1" w14:textId="692034FA" w:rsidR="008C52BD" w:rsidRDefault="000E460B" w:rsidP="006C7A05">
            <w:pPr>
              <w:jc w:val="center"/>
              <w:rPr>
                <w:rFonts w:ascii="Arial" w:eastAsia="MS Mincho" w:hAnsi="Arial"/>
                <w:szCs w:val="24"/>
              </w:rPr>
            </w:pPr>
            <m:oMathPara>
              <m:oMath>
                <m:f>
                  <m:fPr>
                    <m:ctrlPr>
                      <w:rPr>
                        <w:rFonts w:ascii="Cambria Math" w:eastAsia="MS Mincho" w:hAnsi="Cambria Math"/>
                        <w:i/>
                        <w:sz w:val="18"/>
                        <w:szCs w:val="18"/>
                      </w:rPr>
                    </m:ctrlPr>
                  </m:fPr>
                  <m:num>
                    <m:r>
                      <w:rPr>
                        <w:rFonts w:ascii="Cambria Math" w:eastAsia="MS Mincho" w:hAnsi="Cambria Math"/>
                        <w:sz w:val="18"/>
                        <w:szCs w:val="18"/>
                      </w:rPr>
                      <m:t>R×TTI</m:t>
                    </m:r>
                  </m:num>
                  <m:den>
                    <m:r>
                      <w:rPr>
                        <w:rFonts w:ascii="Cambria Math" w:eastAsia="MS Mincho" w:hAnsi="Cambria Math"/>
                        <w:sz w:val="18"/>
                        <w:szCs w:val="18"/>
                      </w:rPr>
                      <m:t>L</m:t>
                    </m:r>
                  </m:den>
                </m:f>
                <m:r>
                  <w:rPr>
                    <w:rFonts w:ascii="Cambria Math" w:eastAsia="MS Mincho" w:hAnsi="Cambria Math"/>
                    <w:sz w:val="18"/>
                    <w:szCs w:val="18"/>
                  </w:rPr>
                  <m:t>×</m:t>
                </m:r>
                <m:d>
                  <m:dPr>
                    <m:begChr m:val="["/>
                    <m:endChr m:val="]"/>
                    <m:ctrlPr>
                      <w:rPr>
                        <w:rFonts w:ascii="Cambria Math" w:eastAsia="MS Mincho" w:hAnsi="Cambria Math"/>
                        <w:i/>
                        <w:sz w:val="18"/>
                        <w:szCs w:val="18"/>
                      </w:rPr>
                    </m:ctrlPr>
                  </m:dPr>
                  <m:e>
                    <m:r>
                      <w:rPr>
                        <w:rFonts w:ascii="Cambria Math" w:eastAsia="MS Mincho" w:hAnsi="Cambria Math"/>
                        <w:sz w:val="18"/>
                        <w:szCs w:val="18"/>
                      </w:rPr>
                      <m:t xml:space="preserve">3+ </m:t>
                    </m:r>
                    <m:d>
                      <m:dPr>
                        <m:ctrlPr>
                          <w:rPr>
                            <w:rFonts w:ascii="Cambria Math" w:eastAsia="MS Mincho" w:hAnsi="Cambria Math"/>
                            <w:i/>
                            <w:sz w:val="18"/>
                            <w:szCs w:val="18"/>
                          </w:rPr>
                        </m:ctrlPr>
                      </m:dPr>
                      <m:e>
                        <m:f>
                          <m:fPr>
                            <m:ctrlPr>
                              <w:rPr>
                                <w:rFonts w:ascii="Cambria Math" w:eastAsia="MS Mincho" w:hAnsi="Cambria Math"/>
                                <w:i/>
                                <w:sz w:val="18"/>
                                <w:szCs w:val="18"/>
                              </w:rPr>
                            </m:ctrlPr>
                          </m:fPr>
                          <m:num>
                            <m:r>
                              <w:rPr>
                                <w:rFonts w:ascii="Cambria Math" w:eastAsia="MS Mincho" w:hAnsi="Cambria Math"/>
                                <w:sz w:val="18"/>
                                <w:szCs w:val="18"/>
                              </w:rPr>
                              <m:t>L</m:t>
                            </m:r>
                          </m:num>
                          <m:den>
                            <m:r>
                              <w:rPr>
                                <w:rFonts w:ascii="Cambria Math" w:eastAsia="MS Mincho" w:hAnsi="Cambria Math"/>
                                <w:sz w:val="18"/>
                                <w:szCs w:val="18"/>
                              </w:rPr>
                              <m:t>P</m:t>
                            </m:r>
                          </m:den>
                        </m:f>
                        <m:r>
                          <w:rPr>
                            <w:rFonts w:ascii="Cambria Math" w:eastAsia="MS Mincho" w:hAnsi="Cambria Math"/>
                            <w:sz w:val="18"/>
                            <w:szCs w:val="18"/>
                          </w:rPr>
                          <m:t>-1</m:t>
                        </m:r>
                      </m:e>
                    </m:d>
                    <m:r>
                      <w:rPr>
                        <w:rFonts w:ascii="Cambria Math" w:eastAsia="MS Mincho" w:hAnsi="Cambria Math"/>
                        <w:sz w:val="18"/>
                        <w:szCs w:val="18"/>
                      </w:rPr>
                      <m:t>×2</m:t>
                    </m:r>
                  </m:e>
                </m:d>
                <m:r>
                  <w:rPr>
                    <w:rFonts w:ascii="Cambria Math" w:eastAsia="MS Mincho" w:hAnsi="Cambria Math"/>
                    <w:sz w:val="18"/>
                    <w:szCs w:val="18"/>
                  </w:rPr>
                  <m:t>+3</m:t>
                </m:r>
              </m:oMath>
            </m:oMathPara>
          </w:p>
        </w:tc>
        <w:tc>
          <w:tcPr>
            <w:tcW w:w="2447" w:type="dxa"/>
            <w:shd w:val="clear" w:color="auto" w:fill="FFFFFF" w:themeFill="background1"/>
          </w:tcPr>
          <w:p w14:paraId="07F3373F" w14:textId="43B9EDDE" w:rsidR="008C52BD" w:rsidRDefault="000E460B" w:rsidP="006C7A05">
            <w:pPr>
              <w:jc w:val="center"/>
              <w:rPr>
                <w:rFonts w:ascii="Arial" w:eastAsia="MS Mincho" w:hAnsi="Arial"/>
                <w:szCs w:val="24"/>
              </w:rPr>
            </w:pPr>
            <m:oMathPara>
              <m:oMath>
                <m:f>
                  <m:fPr>
                    <m:ctrlPr>
                      <w:rPr>
                        <w:rFonts w:ascii="Cambria Math" w:eastAsia="MS Mincho" w:hAnsi="Cambria Math"/>
                        <w:i/>
                        <w:sz w:val="18"/>
                        <w:szCs w:val="18"/>
                      </w:rPr>
                    </m:ctrlPr>
                  </m:fPr>
                  <m:num>
                    <m:r>
                      <w:rPr>
                        <w:rFonts w:ascii="Cambria Math" w:eastAsia="MS Mincho" w:hAnsi="Cambria Math"/>
                        <w:sz w:val="18"/>
                        <w:szCs w:val="18"/>
                      </w:rPr>
                      <m:t>R×TTI</m:t>
                    </m:r>
                  </m:num>
                  <m:den>
                    <m:r>
                      <w:rPr>
                        <w:rFonts w:ascii="Cambria Math" w:eastAsia="MS Mincho" w:hAnsi="Cambria Math"/>
                        <w:sz w:val="18"/>
                        <w:szCs w:val="18"/>
                      </w:rPr>
                      <m:t>P</m:t>
                    </m:r>
                  </m:den>
                </m:f>
                <m:r>
                  <w:rPr>
                    <w:rFonts w:ascii="Cambria Math" w:eastAsia="MS Mincho" w:hAnsi="Cambria Math"/>
                    <w:sz w:val="18"/>
                    <w:szCs w:val="18"/>
                  </w:rPr>
                  <m:t>×6</m:t>
                </m:r>
              </m:oMath>
            </m:oMathPara>
          </w:p>
        </w:tc>
        <w:tc>
          <w:tcPr>
            <w:tcW w:w="2615" w:type="dxa"/>
            <w:shd w:val="clear" w:color="auto" w:fill="FFFFFF" w:themeFill="background1"/>
          </w:tcPr>
          <w:p w14:paraId="189B2B47" w14:textId="158FBED5" w:rsidR="008C52BD" w:rsidRDefault="00DB75CA" w:rsidP="00547241">
            <w:pPr>
              <w:keepNext/>
              <w:jc w:val="center"/>
              <w:rPr>
                <w:rFonts w:ascii="Arial" w:eastAsia="MS Mincho" w:hAnsi="Arial"/>
                <w:szCs w:val="24"/>
              </w:rPr>
            </w:pPr>
            <m:oMathPara>
              <m:oMath>
                <m:r>
                  <w:rPr>
                    <w:rFonts w:ascii="Cambria Math" w:eastAsia="MS Mincho" w:hAnsi="Cambria Math"/>
                    <w:szCs w:val="24"/>
                  </w:rPr>
                  <m:t xml:space="preserve">6+ </m:t>
                </m:r>
                <m:d>
                  <m:dPr>
                    <m:ctrlPr>
                      <w:rPr>
                        <w:rFonts w:ascii="Cambria Math" w:eastAsia="MS Mincho" w:hAnsi="Cambria Math"/>
                        <w:i/>
                        <w:szCs w:val="24"/>
                      </w:rPr>
                    </m:ctrlPr>
                  </m:dPr>
                  <m:e>
                    <m:f>
                      <m:fPr>
                        <m:ctrlPr>
                          <w:rPr>
                            <w:rFonts w:ascii="Cambria Math" w:eastAsia="MS Mincho" w:hAnsi="Cambria Math"/>
                            <w:i/>
                            <w:szCs w:val="24"/>
                          </w:rPr>
                        </m:ctrlPr>
                      </m:fPr>
                      <m:num>
                        <m:r>
                          <w:rPr>
                            <w:rFonts w:ascii="Cambria Math" w:eastAsia="MS Mincho" w:hAnsi="Cambria Math"/>
                            <w:szCs w:val="24"/>
                          </w:rPr>
                          <m:t>R×TTI</m:t>
                        </m:r>
                      </m:num>
                      <m:den>
                        <m:r>
                          <w:rPr>
                            <w:rFonts w:ascii="Cambria Math" w:eastAsia="MS Mincho" w:hAnsi="Cambria Math"/>
                            <w:szCs w:val="24"/>
                          </w:rPr>
                          <m:t>P</m:t>
                        </m:r>
                      </m:den>
                    </m:f>
                    <m:r>
                      <w:rPr>
                        <w:rFonts w:ascii="Cambria Math" w:eastAsia="MS Mincho" w:hAnsi="Cambria Math"/>
                        <w:szCs w:val="24"/>
                      </w:rPr>
                      <m:t>-1</m:t>
                    </m:r>
                  </m:e>
                </m:d>
                <m:r>
                  <w:rPr>
                    <w:rFonts w:ascii="Cambria Math" w:eastAsia="MS Mincho" w:hAnsi="Cambria Math"/>
                    <w:szCs w:val="24"/>
                  </w:rPr>
                  <m:t>×2</m:t>
                </m:r>
              </m:oMath>
            </m:oMathPara>
          </w:p>
        </w:tc>
      </w:tr>
    </w:tbl>
    <w:p w14:paraId="7CCD2AD0" w14:textId="77777777" w:rsidR="00547241" w:rsidRDefault="00547241" w:rsidP="00547241">
      <w:pPr>
        <w:pStyle w:val="Caption"/>
        <w:jc w:val="center"/>
        <w:rPr>
          <w:rFonts w:ascii="Arial" w:eastAsia="MS Mincho" w:hAnsi="Arial"/>
          <w:bCs w:val="0"/>
          <w:color w:val="auto"/>
          <w:sz w:val="20"/>
          <w:szCs w:val="24"/>
        </w:rPr>
      </w:pPr>
    </w:p>
    <w:p w14:paraId="77A19A78" w14:textId="47B507D0" w:rsidR="008C52BD" w:rsidRPr="00547241" w:rsidRDefault="00547241" w:rsidP="00547241">
      <w:pPr>
        <w:pStyle w:val="Caption"/>
        <w:jc w:val="center"/>
        <w:rPr>
          <w:rFonts w:ascii="Arial" w:eastAsia="MS Mincho" w:hAnsi="Arial"/>
          <w:bCs w:val="0"/>
          <w:color w:val="auto"/>
          <w:sz w:val="20"/>
          <w:szCs w:val="24"/>
        </w:rPr>
      </w:pPr>
      <w:bookmarkStart w:id="4" w:name="_Ref465599827"/>
      <w:r w:rsidRPr="00547241">
        <w:rPr>
          <w:rFonts w:ascii="Arial" w:eastAsia="MS Mincho" w:hAnsi="Arial"/>
          <w:bCs w:val="0"/>
          <w:color w:val="auto"/>
          <w:sz w:val="20"/>
          <w:szCs w:val="24"/>
        </w:rPr>
        <w:t xml:space="preserve">Table </w:t>
      </w:r>
      <w:r w:rsidRPr="00547241">
        <w:rPr>
          <w:rFonts w:ascii="Arial" w:eastAsia="MS Mincho" w:hAnsi="Arial"/>
          <w:bCs w:val="0"/>
          <w:color w:val="auto"/>
          <w:sz w:val="20"/>
          <w:szCs w:val="24"/>
        </w:rPr>
        <w:fldChar w:fldCharType="begin"/>
      </w:r>
      <w:r w:rsidRPr="00547241">
        <w:rPr>
          <w:rFonts w:ascii="Arial" w:eastAsia="MS Mincho" w:hAnsi="Arial"/>
          <w:bCs w:val="0"/>
          <w:color w:val="auto"/>
          <w:sz w:val="20"/>
          <w:szCs w:val="24"/>
        </w:rPr>
        <w:instrText xml:space="preserve"> SEQ Table \* ARABIC </w:instrText>
      </w:r>
      <w:r w:rsidRPr="00547241">
        <w:rPr>
          <w:rFonts w:ascii="Arial" w:eastAsia="MS Mincho" w:hAnsi="Arial"/>
          <w:bCs w:val="0"/>
          <w:color w:val="auto"/>
          <w:sz w:val="20"/>
          <w:szCs w:val="24"/>
        </w:rPr>
        <w:fldChar w:fldCharType="separate"/>
      </w:r>
      <w:r w:rsidR="00F2478B">
        <w:rPr>
          <w:rFonts w:ascii="Arial" w:eastAsia="MS Mincho" w:hAnsi="Arial"/>
          <w:bCs w:val="0"/>
          <w:noProof/>
          <w:color w:val="auto"/>
          <w:sz w:val="20"/>
          <w:szCs w:val="24"/>
        </w:rPr>
        <w:t>2</w:t>
      </w:r>
      <w:r w:rsidRPr="00547241">
        <w:rPr>
          <w:rFonts w:ascii="Arial" w:eastAsia="MS Mincho" w:hAnsi="Arial"/>
          <w:bCs w:val="0"/>
          <w:color w:val="auto"/>
          <w:sz w:val="20"/>
          <w:szCs w:val="24"/>
        </w:rPr>
        <w:fldChar w:fldCharType="end"/>
      </w:r>
      <w:bookmarkEnd w:id="4"/>
      <w:r w:rsidRPr="00547241">
        <w:rPr>
          <w:rFonts w:ascii="Arial" w:eastAsia="MS Mincho" w:hAnsi="Arial"/>
          <w:bCs w:val="0"/>
          <w:color w:val="auto"/>
          <w:sz w:val="20"/>
          <w:szCs w:val="24"/>
        </w:rPr>
        <w:t>: Overhead analysis of PC, CM, and LTE</w:t>
      </w:r>
    </w:p>
    <w:p w14:paraId="7AB6FBA9" w14:textId="1321C592" w:rsidR="002520B4" w:rsidRDefault="002520B4" w:rsidP="0022437A">
      <w:pPr>
        <w:rPr>
          <w:rFonts w:ascii="Arial" w:eastAsia="MS Mincho" w:hAnsi="Arial"/>
          <w:szCs w:val="24"/>
        </w:rPr>
      </w:pPr>
      <w:r>
        <w:rPr>
          <w:rFonts w:ascii="Arial" w:eastAsia="MS Mincho" w:hAnsi="Arial"/>
          <w:szCs w:val="24"/>
        </w:rPr>
        <w:t>For PC, there are approximately L/P PDCP PDUs per PDPC RPDU requiring L/P-1 LI fields per RLC PDU. We assume an additional fixed header of 3 bytes</w:t>
      </w:r>
      <w:r w:rsidR="000F7C88">
        <w:rPr>
          <w:rFonts w:ascii="Arial" w:eastAsia="MS Mincho" w:hAnsi="Arial"/>
          <w:szCs w:val="24"/>
        </w:rPr>
        <w:t xml:space="preserve"> </w:t>
      </w:r>
      <w:r>
        <w:rPr>
          <w:rFonts w:ascii="Arial" w:eastAsia="MS Mincho" w:hAnsi="Arial"/>
          <w:szCs w:val="24"/>
        </w:rPr>
        <w:t>per RLC PDU</w:t>
      </w:r>
      <w:r w:rsidR="00DF5466">
        <w:rPr>
          <w:rFonts w:ascii="Arial" w:eastAsia="MS Mincho" w:hAnsi="Arial"/>
          <w:szCs w:val="24"/>
        </w:rPr>
        <w:t xml:space="preserve"> (which includes SN, FI, and NP fields)</w:t>
      </w:r>
      <w:r>
        <w:rPr>
          <w:rFonts w:ascii="Arial" w:eastAsia="MS Mincho" w:hAnsi="Arial"/>
          <w:szCs w:val="24"/>
        </w:rPr>
        <w:t>, and a MAC header of 3 bytes (containing LCID and LI fields) per RLC entity.</w:t>
      </w:r>
      <w:r w:rsidR="00453AB3">
        <w:rPr>
          <w:rFonts w:ascii="Arial" w:eastAsia="MS Mincho" w:hAnsi="Arial"/>
          <w:szCs w:val="24"/>
        </w:rPr>
        <w:t xml:space="preserve"> For CM, we assume a 3 byte header is added per PDCP PDU at both RLC and MAC layers. We note that this analysis is simplified, ignoring segmentation altogether.</w:t>
      </w:r>
    </w:p>
    <w:p w14:paraId="7A0EA0A4" w14:textId="083E5892" w:rsidR="000F7C88" w:rsidRDefault="00443303" w:rsidP="0022437A">
      <w:pPr>
        <w:rPr>
          <w:rFonts w:ascii="Arial" w:eastAsia="MS Mincho" w:hAnsi="Arial"/>
          <w:szCs w:val="24"/>
        </w:rPr>
      </w:pPr>
      <w:r>
        <w:rPr>
          <w:rFonts w:ascii="Arial" w:eastAsia="MS Mincho" w:hAnsi="Arial"/>
          <w:szCs w:val="24"/>
        </w:rPr>
        <w:t>In</w:t>
      </w:r>
      <w:r w:rsidR="00A15196">
        <w:rPr>
          <w:rFonts w:ascii="Arial" w:eastAsia="MS Mincho" w:hAnsi="Arial"/>
          <w:szCs w:val="24"/>
        </w:rPr>
        <w:t xml:space="preserve"> </w:t>
      </w:r>
      <w:r>
        <w:rPr>
          <w:rFonts w:ascii="Arial" w:eastAsia="MS Mincho" w:hAnsi="Arial"/>
          <w:szCs w:val="24"/>
        </w:rPr>
        <w:fldChar w:fldCharType="begin"/>
      </w:r>
      <w:r>
        <w:rPr>
          <w:rFonts w:ascii="Arial" w:eastAsia="MS Mincho" w:hAnsi="Arial"/>
          <w:szCs w:val="24"/>
        </w:rPr>
        <w:instrText xml:space="preserve"> REF _Ref465965695 \h </w:instrText>
      </w:r>
      <w:r>
        <w:rPr>
          <w:rFonts w:ascii="Arial" w:eastAsia="MS Mincho" w:hAnsi="Arial"/>
          <w:szCs w:val="24"/>
        </w:rPr>
      </w:r>
      <w:r>
        <w:rPr>
          <w:rFonts w:ascii="Arial" w:eastAsia="MS Mincho" w:hAnsi="Arial"/>
          <w:szCs w:val="24"/>
        </w:rPr>
        <w:fldChar w:fldCharType="separate"/>
      </w:r>
      <w:r w:rsidRPr="00443303">
        <w:rPr>
          <w:rFonts w:ascii="Arial" w:eastAsia="MS Mincho" w:hAnsi="Arial"/>
          <w:bCs/>
          <w:szCs w:val="24"/>
        </w:rPr>
        <w:t>Figure 2</w:t>
      </w:r>
      <w:r>
        <w:rPr>
          <w:rFonts w:ascii="Arial" w:eastAsia="MS Mincho" w:hAnsi="Arial"/>
          <w:szCs w:val="24"/>
        </w:rPr>
        <w:fldChar w:fldCharType="end"/>
      </w:r>
      <w:r w:rsidR="00A15196">
        <w:rPr>
          <w:rFonts w:ascii="Arial" w:eastAsia="MS Mincho" w:hAnsi="Arial"/>
          <w:szCs w:val="24"/>
        </w:rPr>
        <w:t xml:space="preserve">, we plot the overhead ratio, defined as percentage of header overhead with respect to data, for PC, CM, and LTE baseline, as a function of </w:t>
      </w:r>
      <w:r w:rsidR="004647B7">
        <w:rPr>
          <w:rFonts w:ascii="Arial" w:eastAsia="MS Mincho" w:hAnsi="Arial"/>
          <w:szCs w:val="24"/>
        </w:rPr>
        <w:t>the RLC PDU payload size L, for a data rate of 10 Gbps.</w:t>
      </w:r>
    </w:p>
    <w:p w14:paraId="02D0C119" w14:textId="464736EB" w:rsidR="00A15196" w:rsidRDefault="00E01B83" w:rsidP="00A15196">
      <w:pPr>
        <w:keepNext/>
        <w:jc w:val="center"/>
      </w:pPr>
      <w:r>
        <w:rPr>
          <w:noProof/>
          <w:lang w:val="en-US"/>
        </w:rPr>
        <w:drawing>
          <wp:inline distT="0" distB="0" distL="0" distR="0" wp14:anchorId="3512ACF7" wp14:editId="617448C4">
            <wp:extent cx="5124734" cy="3466531"/>
            <wp:effectExtent l="0" t="0" r="0" b="63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01114E3" w14:textId="237BE1A5" w:rsidR="00A15196" w:rsidRPr="00443303" w:rsidRDefault="00A15196" w:rsidP="00A15196">
      <w:pPr>
        <w:pStyle w:val="Caption"/>
        <w:jc w:val="center"/>
        <w:rPr>
          <w:rFonts w:ascii="Arial" w:eastAsia="MS Mincho" w:hAnsi="Arial"/>
          <w:bCs w:val="0"/>
          <w:color w:val="auto"/>
          <w:sz w:val="20"/>
          <w:szCs w:val="24"/>
        </w:rPr>
      </w:pPr>
      <w:bookmarkStart w:id="5" w:name="_Ref465965695"/>
      <w:r w:rsidRPr="00443303">
        <w:rPr>
          <w:rFonts w:ascii="Arial" w:eastAsia="MS Mincho" w:hAnsi="Arial"/>
          <w:bCs w:val="0"/>
          <w:color w:val="auto"/>
          <w:sz w:val="20"/>
          <w:szCs w:val="24"/>
        </w:rPr>
        <w:t xml:space="preserve">Figure </w:t>
      </w:r>
      <w:r w:rsidRPr="00443303">
        <w:rPr>
          <w:rFonts w:ascii="Arial" w:eastAsia="MS Mincho" w:hAnsi="Arial"/>
          <w:bCs w:val="0"/>
          <w:color w:val="auto"/>
          <w:sz w:val="20"/>
          <w:szCs w:val="24"/>
        </w:rPr>
        <w:fldChar w:fldCharType="begin"/>
      </w:r>
      <w:r w:rsidRPr="00443303">
        <w:rPr>
          <w:rFonts w:ascii="Arial" w:eastAsia="MS Mincho" w:hAnsi="Arial"/>
          <w:bCs w:val="0"/>
          <w:color w:val="auto"/>
          <w:sz w:val="20"/>
          <w:szCs w:val="24"/>
        </w:rPr>
        <w:instrText xml:space="preserve"> SEQ Figure \* ARABIC </w:instrText>
      </w:r>
      <w:r w:rsidRPr="00443303">
        <w:rPr>
          <w:rFonts w:ascii="Arial" w:eastAsia="MS Mincho" w:hAnsi="Arial"/>
          <w:bCs w:val="0"/>
          <w:color w:val="auto"/>
          <w:sz w:val="20"/>
          <w:szCs w:val="24"/>
        </w:rPr>
        <w:fldChar w:fldCharType="separate"/>
      </w:r>
      <w:r w:rsidR="00F1697C">
        <w:rPr>
          <w:rFonts w:ascii="Arial" w:eastAsia="MS Mincho" w:hAnsi="Arial"/>
          <w:bCs w:val="0"/>
          <w:noProof/>
          <w:color w:val="auto"/>
          <w:sz w:val="20"/>
          <w:szCs w:val="24"/>
        </w:rPr>
        <w:t>2</w:t>
      </w:r>
      <w:r w:rsidRPr="00443303">
        <w:rPr>
          <w:rFonts w:ascii="Arial" w:eastAsia="MS Mincho" w:hAnsi="Arial"/>
          <w:bCs w:val="0"/>
          <w:color w:val="auto"/>
          <w:sz w:val="20"/>
          <w:szCs w:val="24"/>
        </w:rPr>
        <w:fldChar w:fldCharType="end"/>
      </w:r>
      <w:bookmarkEnd w:id="5"/>
      <w:r w:rsidRPr="00443303">
        <w:rPr>
          <w:rFonts w:ascii="Arial" w:eastAsia="MS Mincho" w:hAnsi="Arial"/>
          <w:bCs w:val="0"/>
          <w:color w:val="auto"/>
          <w:sz w:val="20"/>
          <w:szCs w:val="24"/>
        </w:rPr>
        <w:t>: Overhead ratio for different values of RLC PDU size</w:t>
      </w:r>
    </w:p>
    <w:p w14:paraId="2AD65965" w14:textId="466A3026" w:rsidR="00E01B83" w:rsidRDefault="00E01B83" w:rsidP="0022437A">
      <w:pPr>
        <w:rPr>
          <w:rFonts w:ascii="Arial" w:eastAsia="MS Mincho" w:hAnsi="Arial"/>
          <w:szCs w:val="24"/>
        </w:rPr>
      </w:pPr>
      <w:r>
        <w:rPr>
          <w:rFonts w:ascii="Arial" w:eastAsia="MS Mincho" w:hAnsi="Arial"/>
          <w:szCs w:val="24"/>
        </w:rPr>
        <w:t>As expected, at the high data rates at which eMBB is supposed to operate, header overhead is likely to be a small fraction of data transmitted, and in general, less of a concern than protocol related processing.</w:t>
      </w:r>
      <w:r w:rsidR="00F1697C">
        <w:rPr>
          <w:rFonts w:ascii="Arial" w:eastAsia="MS Mincho" w:hAnsi="Arial"/>
          <w:szCs w:val="24"/>
        </w:rPr>
        <w:t xml:space="preserve"> Also, not surprisingly, the overhead of PC tends to be the same as LTE baseline for higher levels of aggregation.</w:t>
      </w:r>
    </w:p>
    <w:p w14:paraId="697D3071" w14:textId="062B9F9D" w:rsidR="00EF5A99" w:rsidRPr="00F1697C" w:rsidRDefault="00C05E1B" w:rsidP="0022437A">
      <w:pPr>
        <w:rPr>
          <w:rFonts w:ascii="Arial" w:eastAsia="MS Mincho" w:hAnsi="Arial"/>
          <w:b/>
          <w:szCs w:val="24"/>
        </w:rPr>
      </w:pPr>
      <w:r w:rsidRPr="00F1697C">
        <w:rPr>
          <w:rFonts w:ascii="Arial" w:eastAsia="MS Mincho" w:hAnsi="Arial"/>
          <w:b/>
          <w:szCs w:val="24"/>
        </w:rPr>
        <w:t>Observation</w:t>
      </w:r>
      <w:r w:rsidR="00F1697C" w:rsidRPr="00F1697C">
        <w:rPr>
          <w:rFonts w:ascii="Arial" w:eastAsia="MS Mincho" w:hAnsi="Arial"/>
          <w:b/>
          <w:szCs w:val="24"/>
        </w:rPr>
        <w:t xml:space="preserve"> 4: A</w:t>
      </w:r>
      <w:r w:rsidR="001B6F16" w:rsidRPr="00F1697C">
        <w:rPr>
          <w:rFonts w:ascii="Arial" w:eastAsia="MS Mincho" w:hAnsi="Arial"/>
          <w:b/>
          <w:szCs w:val="24"/>
        </w:rPr>
        <w:t xml:space="preserve">t high data rates, the overhead of RLC + MAC is negligible for any of the schemes considered. </w:t>
      </w:r>
    </w:p>
    <w:p w14:paraId="48262C0C" w14:textId="6948935C" w:rsidR="00F1697C" w:rsidRDefault="00F1697C" w:rsidP="0022437A">
      <w:pPr>
        <w:rPr>
          <w:rFonts w:ascii="Arial" w:eastAsia="MS Mincho" w:hAnsi="Arial"/>
          <w:szCs w:val="24"/>
        </w:rPr>
      </w:pPr>
      <w:r>
        <w:rPr>
          <w:rFonts w:ascii="Arial" w:eastAsia="MS Mincho" w:hAnsi="Arial"/>
          <w:szCs w:val="24"/>
        </w:rPr>
        <w:t xml:space="preserve">However, it is important to point out that the RLC architecture being developed for NR should be scalable for all scenarios of interest, not just the eMBB scenario. We note that the overhead ratio can be significant for shorter packet sizes, with the overhead </w:t>
      </w:r>
      <w:r w:rsidR="00885027">
        <w:rPr>
          <w:rFonts w:ascii="Arial" w:eastAsia="MS Mincho" w:hAnsi="Arial"/>
          <w:szCs w:val="24"/>
        </w:rPr>
        <w:t>in</w:t>
      </w:r>
      <w:r>
        <w:rPr>
          <w:rFonts w:ascii="Arial" w:eastAsia="MS Mincho" w:hAnsi="Arial"/>
          <w:szCs w:val="24"/>
        </w:rPr>
        <w:t xml:space="preserve"> CM being more significant. </w:t>
      </w:r>
    </w:p>
    <w:p w14:paraId="66E040FA" w14:textId="65505113" w:rsidR="00F1697C" w:rsidRDefault="00F1697C" w:rsidP="0022437A">
      <w:pPr>
        <w:rPr>
          <w:rFonts w:ascii="Arial" w:eastAsia="MS Mincho" w:hAnsi="Arial"/>
          <w:szCs w:val="24"/>
        </w:rPr>
      </w:pPr>
      <w:r>
        <w:rPr>
          <w:rFonts w:ascii="Arial" w:eastAsia="MS Mincho" w:hAnsi="Arial"/>
          <w:szCs w:val="24"/>
        </w:rPr>
        <w:t xml:space="preserve">With that in mind, in </w:t>
      </w:r>
      <w:r>
        <w:rPr>
          <w:rFonts w:ascii="Arial" w:eastAsia="MS Mincho" w:hAnsi="Arial"/>
          <w:szCs w:val="24"/>
        </w:rPr>
        <w:fldChar w:fldCharType="begin"/>
      </w:r>
      <w:r>
        <w:rPr>
          <w:rFonts w:ascii="Arial" w:eastAsia="MS Mincho" w:hAnsi="Arial"/>
          <w:szCs w:val="24"/>
        </w:rPr>
        <w:instrText xml:space="preserve"> REF _Ref465967598 \h </w:instrText>
      </w:r>
      <w:r>
        <w:rPr>
          <w:rFonts w:ascii="Arial" w:eastAsia="MS Mincho" w:hAnsi="Arial"/>
          <w:szCs w:val="24"/>
        </w:rPr>
      </w:r>
      <w:r>
        <w:rPr>
          <w:rFonts w:ascii="Arial" w:eastAsia="MS Mincho" w:hAnsi="Arial"/>
          <w:szCs w:val="24"/>
        </w:rPr>
        <w:fldChar w:fldCharType="separate"/>
      </w:r>
      <w:r w:rsidRPr="00F1697C">
        <w:rPr>
          <w:rFonts w:ascii="Arial" w:eastAsia="MS Mincho" w:hAnsi="Arial"/>
          <w:bCs/>
          <w:szCs w:val="24"/>
        </w:rPr>
        <w:t>Figure 3</w:t>
      </w:r>
      <w:r>
        <w:rPr>
          <w:rFonts w:ascii="Arial" w:eastAsia="MS Mincho" w:hAnsi="Arial"/>
          <w:szCs w:val="24"/>
        </w:rPr>
        <w:fldChar w:fldCharType="end"/>
      </w:r>
      <w:r>
        <w:rPr>
          <w:rFonts w:ascii="Arial" w:eastAsia="MS Mincho" w:hAnsi="Arial"/>
          <w:szCs w:val="24"/>
        </w:rPr>
        <w:t xml:space="preserve"> , we compare the overhead associated with PC, LTE, and CM as a function of PDCP PDU packet size, for a data rate of 10 </w:t>
      </w:r>
      <w:r w:rsidR="00C05E1B">
        <w:rPr>
          <w:rFonts w:ascii="Arial" w:eastAsia="MS Mincho" w:hAnsi="Arial"/>
          <w:szCs w:val="24"/>
        </w:rPr>
        <w:t>Mbps</w:t>
      </w:r>
      <w:r>
        <w:rPr>
          <w:rFonts w:ascii="Arial" w:eastAsia="MS Mincho" w:hAnsi="Arial"/>
          <w:szCs w:val="24"/>
        </w:rPr>
        <w:t xml:space="preserve">. </w:t>
      </w:r>
    </w:p>
    <w:p w14:paraId="4BE7E4CE" w14:textId="62175F7D" w:rsidR="00F1697C" w:rsidRPr="00F1697C" w:rsidRDefault="00F1697C" w:rsidP="0022437A">
      <w:pPr>
        <w:rPr>
          <w:rFonts w:ascii="Arial" w:eastAsia="MS Mincho" w:hAnsi="Arial"/>
          <w:b/>
          <w:szCs w:val="24"/>
        </w:rPr>
      </w:pPr>
      <w:r w:rsidRPr="00F1697C">
        <w:rPr>
          <w:rFonts w:ascii="Arial" w:eastAsia="MS Mincho" w:hAnsi="Arial"/>
          <w:b/>
          <w:szCs w:val="24"/>
        </w:rPr>
        <w:t>Observation 5: With smaller packet sizes, the overhead associated with CM can be significant even at relatively low data rates.</w:t>
      </w:r>
    </w:p>
    <w:p w14:paraId="4429A26B" w14:textId="77777777" w:rsidR="00F1697C" w:rsidRDefault="00F1697C" w:rsidP="0022437A">
      <w:pPr>
        <w:rPr>
          <w:rFonts w:ascii="Arial" w:eastAsia="MS Mincho" w:hAnsi="Arial"/>
          <w:szCs w:val="24"/>
        </w:rPr>
      </w:pPr>
    </w:p>
    <w:p w14:paraId="23957B75" w14:textId="77777777" w:rsidR="00F1697C" w:rsidRDefault="00F1697C" w:rsidP="00F1697C">
      <w:pPr>
        <w:keepNext/>
        <w:jc w:val="center"/>
      </w:pPr>
      <w:r>
        <w:rPr>
          <w:noProof/>
          <w:lang w:val="en-US"/>
        </w:rPr>
        <w:lastRenderedPageBreak/>
        <w:drawing>
          <wp:inline distT="0" distB="0" distL="0" distR="0" wp14:anchorId="0D2BF711" wp14:editId="45186996">
            <wp:extent cx="5001904" cy="2947357"/>
            <wp:effectExtent l="0" t="0" r="8255" b="571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E0AEF16" w14:textId="10B999F1" w:rsidR="007A4865" w:rsidRPr="00F1697C" w:rsidRDefault="00F1697C" w:rsidP="00F1697C">
      <w:pPr>
        <w:pStyle w:val="Caption"/>
        <w:jc w:val="center"/>
        <w:rPr>
          <w:rFonts w:ascii="Arial" w:eastAsia="MS Mincho" w:hAnsi="Arial"/>
          <w:bCs w:val="0"/>
          <w:color w:val="auto"/>
          <w:sz w:val="20"/>
          <w:szCs w:val="24"/>
        </w:rPr>
      </w:pPr>
      <w:bookmarkStart w:id="6" w:name="_Ref465967598"/>
      <w:r w:rsidRPr="00F1697C">
        <w:rPr>
          <w:rFonts w:ascii="Arial" w:eastAsia="MS Mincho" w:hAnsi="Arial"/>
          <w:bCs w:val="0"/>
          <w:color w:val="auto"/>
          <w:sz w:val="20"/>
          <w:szCs w:val="24"/>
        </w:rPr>
        <w:t xml:space="preserve">Figure </w:t>
      </w:r>
      <w:r w:rsidRPr="00F1697C">
        <w:rPr>
          <w:rFonts w:ascii="Arial" w:eastAsia="MS Mincho" w:hAnsi="Arial"/>
          <w:bCs w:val="0"/>
          <w:color w:val="auto"/>
          <w:sz w:val="20"/>
          <w:szCs w:val="24"/>
        </w:rPr>
        <w:fldChar w:fldCharType="begin"/>
      </w:r>
      <w:r w:rsidRPr="00F1697C">
        <w:rPr>
          <w:rFonts w:ascii="Arial" w:eastAsia="MS Mincho" w:hAnsi="Arial"/>
          <w:bCs w:val="0"/>
          <w:color w:val="auto"/>
          <w:sz w:val="20"/>
          <w:szCs w:val="24"/>
        </w:rPr>
        <w:instrText xml:space="preserve"> SEQ Figure \* ARABIC </w:instrText>
      </w:r>
      <w:r w:rsidRPr="00F1697C">
        <w:rPr>
          <w:rFonts w:ascii="Arial" w:eastAsia="MS Mincho" w:hAnsi="Arial"/>
          <w:bCs w:val="0"/>
          <w:color w:val="auto"/>
          <w:sz w:val="20"/>
          <w:szCs w:val="24"/>
        </w:rPr>
        <w:fldChar w:fldCharType="separate"/>
      </w:r>
      <w:r w:rsidRPr="00F1697C">
        <w:rPr>
          <w:rFonts w:ascii="Arial" w:eastAsia="MS Mincho" w:hAnsi="Arial"/>
          <w:bCs w:val="0"/>
          <w:color w:val="auto"/>
          <w:sz w:val="20"/>
          <w:szCs w:val="24"/>
        </w:rPr>
        <w:t>3</w:t>
      </w:r>
      <w:r w:rsidRPr="00F1697C">
        <w:rPr>
          <w:rFonts w:ascii="Arial" w:eastAsia="MS Mincho" w:hAnsi="Arial"/>
          <w:bCs w:val="0"/>
          <w:color w:val="auto"/>
          <w:sz w:val="20"/>
          <w:szCs w:val="24"/>
        </w:rPr>
        <w:fldChar w:fldCharType="end"/>
      </w:r>
      <w:bookmarkEnd w:id="6"/>
      <w:r w:rsidRPr="00F1697C">
        <w:rPr>
          <w:rFonts w:ascii="Arial" w:eastAsia="MS Mincho" w:hAnsi="Arial"/>
          <w:bCs w:val="0"/>
          <w:color w:val="auto"/>
          <w:sz w:val="20"/>
          <w:szCs w:val="24"/>
        </w:rPr>
        <w:t xml:space="preserve">: </w:t>
      </w:r>
      <w:r w:rsidRPr="00443303">
        <w:rPr>
          <w:rFonts w:ascii="Arial" w:eastAsia="MS Mincho" w:hAnsi="Arial"/>
          <w:bCs w:val="0"/>
          <w:color w:val="auto"/>
          <w:sz w:val="20"/>
          <w:szCs w:val="24"/>
        </w:rPr>
        <w:t xml:space="preserve">Overhead ratio for different values of </w:t>
      </w:r>
      <w:r w:rsidR="00C62954">
        <w:rPr>
          <w:rFonts w:ascii="Arial" w:eastAsia="MS Mincho" w:hAnsi="Arial"/>
          <w:bCs w:val="0"/>
          <w:color w:val="auto"/>
          <w:sz w:val="20"/>
          <w:szCs w:val="24"/>
        </w:rPr>
        <w:t>PDCP</w:t>
      </w:r>
      <w:r w:rsidRPr="00443303">
        <w:rPr>
          <w:rFonts w:ascii="Arial" w:eastAsia="MS Mincho" w:hAnsi="Arial"/>
          <w:bCs w:val="0"/>
          <w:color w:val="auto"/>
          <w:sz w:val="20"/>
          <w:szCs w:val="24"/>
        </w:rPr>
        <w:t xml:space="preserve"> PDU size</w:t>
      </w:r>
    </w:p>
    <w:p w14:paraId="7E790710" w14:textId="7E548DD9" w:rsidR="00EF5A99" w:rsidRDefault="00EF5A99" w:rsidP="0022437A">
      <w:pPr>
        <w:rPr>
          <w:rFonts w:ascii="Arial" w:eastAsia="MS Mincho" w:hAnsi="Arial"/>
          <w:szCs w:val="24"/>
        </w:rPr>
      </w:pPr>
      <w:r>
        <w:rPr>
          <w:rFonts w:ascii="Arial" w:eastAsia="MS Mincho" w:hAnsi="Arial"/>
          <w:szCs w:val="24"/>
        </w:rPr>
        <w:t xml:space="preserve">Based on the analysis </w:t>
      </w:r>
      <w:r w:rsidR="007A4865">
        <w:rPr>
          <w:rFonts w:ascii="Arial" w:eastAsia="MS Mincho" w:hAnsi="Arial"/>
          <w:szCs w:val="24"/>
        </w:rPr>
        <w:t>presented in this contribution</w:t>
      </w:r>
      <w:r>
        <w:rPr>
          <w:rFonts w:ascii="Arial" w:eastAsia="MS Mincho" w:hAnsi="Arial"/>
          <w:szCs w:val="24"/>
        </w:rPr>
        <w:t xml:space="preserve">, we believe that the pre-concatenation scheme is implementation friendly (from both Tx and Rx viewpoints), and also affords more flexibility and reduced overhead compared to moving concatenation to MAC. </w:t>
      </w:r>
    </w:p>
    <w:p w14:paraId="2FD911E5" w14:textId="5CB4E730" w:rsidR="00EF5A99" w:rsidRPr="00043820" w:rsidRDefault="00EF5A99" w:rsidP="0022437A">
      <w:pPr>
        <w:rPr>
          <w:rFonts w:ascii="Arial" w:eastAsia="MS Mincho" w:hAnsi="Arial"/>
          <w:b/>
          <w:szCs w:val="24"/>
        </w:rPr>
      </w:pPr>
      <w:r w:rsidRPr="00043820">
        <w:rPr>
          <w:rFonts w:ascii="Arial" w:eastAsia="MS Mincho" w:hAnsi="Arial"/>
          <w:b/>
          <w:szCs w:val="24"/>
        </w:rPr>
        <w:t xml:space="preserve">Proposal 1: </w:t>
      </w:r>
      <w:r w:rsidR="00043820" w:rsidRPr="00043820">
        <w:rPr>
          <w:rFonts w:ascii="Arial" w:eastAsia="MS Mincho" w:hAnsi="Arial"/>
          <w:b/>
          <w:szCs w:val="24"/>
        </w:rPr>
        <w:t>Pre-concatenation be adopted for NR RLC.</w:t>
      </w:r>
    </w:p>
    <w:p w14:paraId="36482B01" w14:textId="77777777" w:rsidR="007A4865" w:rsidRDefault="00043820" w:rsidP="0022437A">
      <w:pPr>
        <w:rPr>
          <w:rFonts w:ascii="Arial" w:eastAsia="MS Mincho" w:hAnsi="Arial"/>
          <w:szCs w:val="24"/>
        </w:rPr>
      </w:pPr>
      <w:r>
        <w:rPr>
          <w:rFonts w:ascii="Arial" w:eastAsia="MS Mincho" w:hAnsi="Arial"/>
          <w:szCs w:val="24"/>
        </w:rPr>
        <w:t xml:space="preserve">If Proposal 1 is agreeable, then </w:t>
      </w:r>
      <w:r w:rsidR="007A4865">
        <w:rPr>
          <w:rFonts w:ascii="Arial" w:eastAsia="MS Mincho" w:hAnsi="Arial"/>
          <w:szCs w:val="24"/>
        </w:rPr>
        <w:t>we believe that the RLC header structure presented in Section 3 should be adopted.</w:t>
      </w:r>
    </w:p>
    <w:p w14:paraId="35E1D701" w14:textId="77777777" w:rsidR="007A4865" w:rsidRPr="007A4865" w:rsidRDefault="007A4865" w:rsidP="0022437A">
      <w:pPr>
        <w:rPr>
          <w:rFonts w:ascii="Arial" w:eastAsia="MS Mincho" w:hAnsi="Arial"/>
          <w:b/>
          <w:szCs w:val="24"/>
        </w:rPr>
      </w:pPr>
      <w:r w:rsidRPr="007A4865">
        <w:rPr>
          <w:rFonts w:ascii="Arial" w:eastAsia="MS Mincho" w:hAnsi="Arial"/>
          <w:b/>
          <w:szCs w:val="24"/>
        </w:rPr>
        <w:t xml:space="preserve">Proposal 2: The RLC header for NR should be enhanced to include fields for FI and number of PDCP PDUs/PDU segments contained in the RLC SDU. </w:t>
      </w:r>
    </w:p>
    <w:p w14:paraId="1FB5AC1A" w14:textId="099B86EB" w:rsidR="005C0C68" w:rsidRDefault="007A4865" w:rsidP="0022437A">
      <w:pPr>
        <w:rPr>
          <w:rFonts w:ascii="Arial" w:eastAsia="MS Mincho" w:hAnsi="Arial"/>
          <w:szCs w:val="24"/>
        </w:rPr>
      </w:pPr>
      <w:r>
        <w:rPr>
          <w:rFonts w:ascii="Arial" w:eastAsia="MS Mincho" w:hAnsi="Arial"/>
          <w:szCs w:val="24"/>
        </w:rPr>
        <w:t>I</w:t>
      </w:r>
      <w:r w:rsidR="00043820">
        <w:rPr>
          <w:rFonts w:ascii="Arial" w:eastAsia="MS Mincho" w:hAnsi="Arial"/>
          <w:szCs w:val="24"/>
        </w:rPr>
        <w:t xml:space="preserve">t may be possible to streamline MAC and RLC procedures (e.g., LCP and BSR) to accommodate fixed length RLC PDUs. </w:t>
      </w:r>
    </w:p>
    <w:p w14:paraId="52511AE6" w14:textId="71D1122E" w:rsidR="0064414F" w:rsidRPr="00756033" w:rsidRDefault="007A4865" w:rsidP="000F7480">
      <w:pPr>
        <w:rPr>
          <w:rFonts w:ascii="Arial" w:eastAsia="MS Mincho" w:hAnsi="Arial"/>
          <w:b/>
          <w:szCs w:val="24"/>
        </w:rPr>
      </w:pPr>
      <w:r>
        <w:rPr>
          <w:rFonts w:ascii="Arial" w:eastAsia="MS Mincho" w:hAnsi="Arial"/>
          <w:b/>
          <w:szCs w:val="24"/>
        </w:rPr>
        <w:t>Proposal 3</w:t>
      </w:r>
      <w:r w:rsidR="00043820" w:rsidRPr="00043820">
        <w:rPr>
          <w:rFonts w:ascii="Arial" w:eastAsia="MS Mincho" w:hAnsi="Arial"/>
          <w:b/>
          <w:szCs w:val="24"/>
        </w:rPr>
        <w:t>: User plane procedures for MAC and RLC can be optimized for pre-concatenation based RLC processing</w:t>
      </w:r>
      <w:r w:rsidR="00043820">
        <w:rPr>
          <w:rFonts w:ascii="Arial" w:eastAsia="MS Mincho" w:hAnsi="Arial"/>
          <w:b/>
          <w:szCs w:val="24"/>
        </w:rPr>
        <w:t>.</w:t>
      </w:r>
    </w:p>
    <w:p w14:paraId="2A011769" w14:textId="33B27BF1" w:rsidR="006C2278" w:rsidRDefault="000F7480" w:rsidP="003E1898">
      <w:pPr>
        <w:pStyle w:val="Heading1"/>
        <w:ind w:left="0" w:firstLine="0"/>
        <w:rPr>
          <w:lang w:val="en-US" w:eastAsia="ko-KR"/>
        </w:rPr>
      </w:pPr>
      <w:r>
        <w:rPr>
          <w:lang w:val="en-US" w:eastAsia="ko-KR"/>
        </w:rPr>
        <w:t>5</w:t>
      </w:r>
      <w:r w:rsidR="00A50CFB">
        <w:rPr>
          <w:lang w:val="en-US" w:eastAsia="ko-KR"/>
        </w:rPr>
        <w:t xml:space="preserve"> </w:t>
      </w:r>
      <w:r w:rsidR="007B611E">
        <w:rPr>
          <w:lang w:val="en-US" w:eastAsia="ko-KR"/>
        </w:rPr>
        <w:t>Conclusions</w:t>
      </w:r>
    </w:p>
    <w:p w14:paraId="06EBE500" w14:textId="3803419D" w:rsidR="00397013" w:rsidRDefault="00AD575A" w:rsidP="00AD3318">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this contribution, we discuss</w:t>
      </w:r>
      <w:r w:rsidR="003750A3">
        <w:rPr>
          <w:rFonts w:ascii="Arial" w:eastAsia="MS Mincho" w:hAnsi="Arial"/>
          <w:szCs w:val="24"/>
        </w:rPr>
        <w:t>ed</w:t>
      </w:r>
      <w:r>
        <w:rPr>
          <w:rFonts w:ascii="Arial" w:eastAsia="MS Mincho" w:hAnsi="Arial"/>
          <w:szCs w:val="24"/>
        </w:rPr>
        <w:t xml:space="preserve"> the issue of </w:t>
      </w:r>
      <w:r w:rsidR="00F7597C">
        <w:rPr>
          <w:rFonts w:ascii="Arial" w:eastAsia="MS Mincho" w:hAnsi="Arial"/>
          <w:szCs w:val="24"/>
        </w:rPr>
        <w:t>concatenation</w:t>
      </w:r>
      <w:r w:rsidR="00960000">
        <w:rPr>
          <w:rFonts w:ascii="Arial" w:eastAsia="MS Mincho" w:hAnsi="Arial"/>
          <w:szCs w:val="24"/>
        </w:rPr>
        <w:t xml:space="preserve"> at the RLC layer</w:t>
      </w:r>
      <w:r w:rsidR="00DD5FC2">
        <w:rPr>
          <w:rFonts w:ascii="Arial" w:eastAsia="MS Mincho" w:hAnsi="Arial"/>
          <w:szCs w:val="24"/>
        </w:rPr>
        <w:t xml:space="preserve"> for NR UP. Our observations and proposals are summarized below.</w:t>
      </w:r>
    </w:p>
    <w:p w14:paraId="7D5ABA59" w14:textId="77777777" w:rsidR="00043820" w:rsidRPr="0036662B" w:rsidRDefault="00043820" w:rsidP="00043820">
      <w:pPr>
        <w:rPr>
          <w:rFonts w:ascii="Arial" w:eastAsia="MS Mincho" w:hAnsi="Arial" w:cs="Arial"/>
          <w:b/>
          <w:szCs w:val="24"/>
        </w:rPr>
      </w:pPr>
      <w:r w:rsidRPr="0036662B">
        <w:rPr>
          <w:rFonts w:ascii="Arial" w:eastAsia="MS Mincho" w:hAnsi="Arial" w:cs="Arial"/>
          <w:b/>
          <w:szCs w:val="24"/>
        </w:rPr>
        <w:t>Observation 1: From a transmit processing perspective, it is desirable to have the ability to pre-construct RLC headers/sub-headers without any dependence on the uplink grant process.</w:t>
      </w:r>
    </w:p>
    <w:p w14:paraId="0A665D1F" w14:textId="77777777" w:rsidR="00043820" w:rsidRDefault="00043820" w:rsidP="00043820">
      <w:pPr>
        <w:rPr>
          <w:rFonts w:ascii="Arial" w:eastAsia="MS Mincho" w:hAnsi="Arial" w:cs="Arial"/>
          <w:b/>
          <w:szCs w:val="24"/>
        </w:rPr>
      </w:pPr>
      <w:r w:rsidRPr="009B4B03">
        <w:rPr>
          <w:rFonts w:ascii="Arial" w:eastAsia="MS Mincho" w:hAnsi="Arial" w:cs="Arial"/>
          <w:b/>
          <w:szCs w:val="24"/>
        </w:rPr>
        <w:t>Observation 2: From a receive processing perspective, it is desirable to employ fixed length RLC headers and a RLC header structu</w:t>
      </w:r>
      <w:r>
        <w:rPr>
          <w:rFonts w:ascii="Arial" w:eastAsia="MS Mincho" w:hAnsi="Arial" w:cs="Arial"/>
          <w:b/>
          <w:szCs w:val="24"/>
        </w:rPr>
        <w:t>re that is amenable for parallel</w:t>
      </w:r>
      <w:r w:rsidRPr="009B4B03">
        <w:rPr>
          <w:rFonts w:ascii="Arial" w:eastAsia="MS Mincho" w:hAnsi="Arial" w:cs="Arial"/>
          <w:b/>
          <w:szCs w:val="24"/>
        </w:rPr>
        <w:t xml:space="preserve"> processing. </w:t>
      </w:r>
    </w:p>
    <w:p w14:paraId="140F3599" w14:textId="25E554CA" w:rsidR="00043820" w:rsidRDefault="00043820" w:rsidP="00043820">
      <w:pPr>
        <w:rPr>
          <w:rFonts w:ascii="Arial" w:eastAsia="MS Mincho" w:hAnsi="Arial"/>
          <w:b/>
          <w:szCs w:val="24"/>
        </w:rPr>
      </w:pPr>
      <w:r w:rsidRPr="0065373D">
        <w:rPr>
          <w:rFonts w:ascii="Arial" w:eastAsia="MS Mincho" w:hAnsi="Arial"/>
          <w:b/>
          <w:szCs w:val="24"/>
        </w:rPr>
        <w:t>Observation 3: There are several possibili</w:t>
      </w:r>
      <w:r w:rsidR="00610151">
        <w:rPr>
          <w:rFonts w:ascii="Arial" w:eastAsia="MS Mincho" w:hAnsi="Arial"/>
          <w:b/>
          <w:szCs w:val="24"/>
        </w:rPr>
        <w:t>ti</w:t>
      </w:r>
      <w:r w:rsidRPr="0065373D">
        <w:rPr>
          <w:rFonts w:ascii="Arial" w:eastAsia="MS Mincho" w:hAnsi="Arial"/>
          <w:b/>
          <w:szCs w:val="24"/>
        </w:rPr>
        <w:t>es for how the pre-constructed RLC PDU length can be chosen.</w:t>
      </w:r>
    </w:p>
    <w:p w14:paraId="4F409D5B" w14:textId="52E30C19" w:rsidR="00F1697C" w:rsidRDefault="00C05E1B" w:rsidP="00043820">
      <w:pPr>
        <w:rPr>
          <w:rFonts w:ascii="Arial" w:eastAsia="MS Mincho" w:hAnsi="Arial"/>
          <w:b/>
          <w:szCs w:val="24"/>
        </w:rPr>
      </w:pPr>
      <w:r w:rsidRPr="00F1697C">
        <w:rPr>
          <w:rFonts w:ascii="Arial" w:eastAsia="MS Mincho" w:hAnsi="Arial"/>
          <w:b/>
          <w:szCs w:val="24"/>
        </w:rPr>
        <w:t>Observation</w:t>
      </w:r>
      <w:r w:rsidR="00F1697C" w:rsidRPr="00F1697C">
        <w:rPr>
          <w:rFonts w:ascii="Arial" w:eastAsia="MS Mincho" w:hAnsi="Arial"/>
          <w:b/>
          <w:szCs w:val="24"/>
        </w:rPr>
        <w:t xml:space="preserve"> 4: At high data rates, the overhead of RLC + MAC is negligible for any of the schemes considered.</w:t>
      </w:r>
    </w:p>
    <w:p w14:paraId="3691375E" w14:textId="6C58357F" w:rsidR="00F1697C" w:rsidRPr="00043820" w:rsidRDefault="00F1697C" w:rsidP="00043820">
      <w:pPr>
        <w:rPr>
          <w:rFonts w:ascii="Arial" w:eastAsia="MS Mincho" w:hAnsi="Arial"/>
          <w:b/>
          <w:szCs w:val="24"/>
        </w:rPr>
      </w:pPr>
      <w:r w:rsidRPr="00F1697C">
        <w:rPr>
          <w:rFonts w:ascii="Arial" w:eastAsia="MS Mincho" w:hAnsi="Arial"/>
          <w:b/>
          <w:szCs w:val="24"/>
        </w:rPr>
        <w:t xml:space="preserve">Observation 5: With smaller packet sizes, the overhead associated with CM can be significant even at relatively low data rates. </w:t>
      </w:r>
    </w:p>
    <w:p w14:paraId="1380AD1D" w14:textId="77777777" w:rsidR="00043820" w:rsidRDefault="00043820" w:rsidP="00043820">
      <w:pPr>
        <w:rPr>
          <w:rFonts w:ascii="Arial" w:eastAsia="MS Mincho" w:hAnsi="Arial"/>
          <w:b/>
          <w:szCs w:val="24"/>
        </w:rPr>
      </w:pPr>
      <w:r w:rsidRPr="00043820">
        <w:rPr>
          <w:rFonts w:ascii="Arial" w:eastAsia="MS Mincho" w:hAnsi="Arial"/>
          <w:b/>
          <w:szCs w:val="24"/>
        </w:rPr>
        <w:t>Proposal 1: Pre-concatenation be adopted for NR RLC.</w:t>
      </w:r>
    </w:p>
    <w:p w14:paraId="079C5C3F" w14:textId="4C3BEE48" w:rsidR="007A4865" w:rsidRPr="00043820" w:rsidRDefault="007A4865" w:rsidP="00043820">
      <w:pPr>
        <w:rPr>
          <w:rFonts w:ascii="Arial" w:eastAsia="MS Mincho" w:hAnsi="Arial"/>
          <w:b/>
          <w:szCs w:val="24"/>
        </w:rPr>
      </w:pPr>
      <w:r w:rsidRPr="007A4865">
        <w:rPr>
          <w:rFonts w:ascii="Arial" w:eastAsia="MS Mincho" w:hAnsi="Arial"/>
          <w:b/>
          <w:szCs w:val="24"/>
        </w:rPr>
        <w:t xml:space="preserve">Proposal 2: The RLC header for NR should be enhanced to include fields for FI and number of PDCP PDUs/PDU segments contained in the RLC SDU. </w:t>
      </w:r>
    </w:p>
    <w:p w14:paraId="1C3DE7DD" w14:textId="1F6BEC92" w:rsidR="00043820" w:rsidRPr="00043820" w:rsidRDefault="007A4865" w:rsidP="00AD3318">
      <w:pPr>
        <w:rPr>
          <w:rFonts w:ascii="Arial" w:eastAsia="MS Mincho" w:hAnsi="Arial"/>
          <w:b/>
          <w:szCs w:val="24"/>
        </w:rPr>
      </w:pPr>
      <w:r>
        <w:rPr>
          <w:rFonts w:ascii="Arial" w:eastAsia="MS Mincho" w:hAnsi="Arial"/>
          <w:b/>
          <w:szCs w:val="24"/>
        </w:rPr>
        <w:t>Proposal 3</w:t>
      </w:r>
      <w:r w:rsidR="00043820" w:rsidRPr="00043820">
        <w:rPr>
          <w:rFonts w:ascii="Arial" w:eastAsia="MS Mincho" w:hAnsi="Arial"/>
          <w:b/>
          <w:szCs w:val="24"/>
        </w:rPr>
        <w:t>: User plane procedures for MAC and RLC can be optimized for pre-concatenation based RLC processing</w:t>
      </w:r>
      <w:r w:rsidR="00043820">
        <w:rPr>
          <w:rFonts w:ascii="Arial" w:eastAsia="MS Mincho" w:hAnsi="Arial"/>
          <w:b/>
          <w:szCs w:val="24"/>
        </w:rPr>
        <w:t>.</w:t>
      </w:r>
    </w:p>
    <w:p w14:paraId="12214D46" w14:textId="06997D94" w:rsidR="00EF622C" w:rsidRDefault="00C05E1B" w:rsidP="00F54927">
      <w:pPr>
        <w:pStyle w:val="Heading1"/>
        <w:pBdr>
          <w:top w:val="single" w:sz="12" w:space="0" w:color="auto"/>
        </w:pBdr>
        <w:rPr>
          <w:lang w:val="en-US" w:eastAsia="ko-KR"/>
        </w:rPr>
      </w:pPr>
      <w:r>
        <w:rPr>
          <w:lang w:eastAsia="ko-KR"/>
        </w:rPr>
        <w:lastRenderedPageBreak/>
        <w:t xml:space="preserve">6 </w:t>
      </w:r>
      <w:r>
        <w:rPr>
          <w:lang w:val="en-US" w:eastAsia="ko-KR"/>
        </w:rPr>
        <w:t>References</w:t>
      </w:r>
    </w:p>
    <w:p w14:paraId="229E3825" w14:textId="4CF656F3" w:rsidR="007F12B1" w:rsidRDefault="00D4051A" w:rsidP="00561ACD">
      <w:pPr>
        <w:pStyle w:val="ListParagraph"/>
        <w:numPr>
          <w:ilvl w:val="0"/>
          <w:numId w:val="21"/>
        </w:numPr>
        <w:spacing w:after="60"/>
        <w:rPr>
          <w:rFonts w:ascii="Arial" w:hAnsi="Arial" w:cs="Arial"/>
          <w:sz w:val="20"/>
          <w:szCs w:val="20"/>
          <w:lang w:eastAsia="ko-KR"/>
        </w:rPr>
      </w:pPr>
      <w:bookmarkStart w:id="7" w:name="_Ref458604852"/>
      <w:bookmarkStart w:id="8" w:name="_Ref447035248"/>
      <w:bookmarkStart w:id="9" w:name="_Ref450578472"/>
      <w:bookmarkStart w:id="10" w:name="_Ref465072754"/>
      <w:r>
        <w:rPr>
          <w:rFonts w:ascii="Arial" w:hAnsi="Arial" w:cs="Arial"/>
          <w:sz w:val="20"/>
          <w:szCs w:val="20"/>
          <w:lang w:eastAsia="ko-KR"/>
        </w:rPr>
        <w:t>R2-167190</w:t>
      </w:r>
      <w:r w:rsidR="00702293">
        <w:rPr>
          <w:rFonts w:ascii="Arial" w:hAnsi="Arial" w:cs="Arial"/>
          <w:sz w:val="20"/>
          <w:szCs w:val="20"/>
          <w:lang w:eastAsia="ko-KR"/>
        </w:rPr>
        <w:t xml:space="preserve">, </w:t>
      </w:r>
      <w:r>
        <w:rPr>
          <w:rFonts w:ascii="Arial" w:hAnsi="Arial" w:cs="Arial"/>
          <w:sz w:val="20"/>
          <w:szCs w:val="20"/>
          <w:lang w:eastAsia="ko-KR"/>
        </w:rPr>
        <w:t>Way forward for concatenation discussion</w:t>
      </w:r>
      <w:r w:rsidR="00702293">
        <w:rPr>
          <w:rFonts w:ascii="Arial" w:hAnsi="Arial" w:cs="Arial"/>
          <w:sz w:val="20"/>
          <w:szCs w:val="20"/>
          <w:lang w:eastAsia="ko-KR"/>
        </w:rPr>
        <w:t xml:space="preserve">, </w:t>
      </w:r>
      <w:bookmarkEnd w:id="7"/>
      <w:r w:rsidR="00561ACD">
        <w:rPr>
          <w:rFonts w:ascii="Arial" w:hAnsi="Arial" w:cs="Arial"/>
          <w:sz w:val="20"/>
          <w:szCs w:val="20"/>
          <w:lang w:eastAsia="ko-KR"/>
        </w:rPr>
        <w:t>Ericsson</w:t>
      </w:r>
      <w:bookmarkEnd w:id="8"/>
      <w:bookmarkEnd w:id="9"/>
      <w:r>
        <w:rPr>
          <w:rFonts w:ascii="Arial" w:hAnsi="Arial" w:cs="Arial"/>
          <w:sz w:val="20"/>
          <w:szCs w:val="20"/>
          <w:lang w:eastAsia="ko-KR"/>
        </w:rPr>
        <w:t>, Huawei, ZTE.</w:t>
      </w:r>
      <w:bookmarkEnd w:id="10"/>
    </w:p>
    <w:p w14:paraId="62B0B55C" w14:textId="3F8D7309" w:rsidR="00120A9F" w:rsidRDefault="00D4051A" w:rsidP="00E42827">
      <w:pPr>
        <w:pStyle w:val="ListParagraph"/>
        <w:numPr>
          <w:ilvl w:val="0"/>
          <w:numId w:val="21"/>
        </w:numPr>
        <w:spacing w:after="60"/>
        <w:rPr>
          <w:rFonts w:ascii="Arial" w:hAnsi="Arial" w:cs="Arial"/>
          <w:sz w:val="20"/>
          <w:szCs w:val="20"/>
          <w:lang w:eastAsia="ko-KR"/>
        </w:rPr>
      </w:pPr>
      <w:bookmarkStart w:id="11" w:name="_Ref465072756"/>
      <w:r>
        <w:rPr>
          <w:rFonts w:ascii="Arial" w:hAnsi="Arial" w:cs="Arial"/>
          <w:sz w:val="20"/>
          <w:szCs w:val="20"/>
          <w:lang w:eastAsia="ko-KR"/>
        </w:rPr>
        <w:t xml:space="preserve">R2-167199, </w:t>
      </w:r>
      <w:r w:rsidRPr="00D4051A">
        <w:rPr>
          <w:rFonts w:ascii="Arial" w:hAnsi="Arial" w:cs="Arial"/>
          <w:sz w:val="20"/>
          <w:szCs w:val="20"/>
          <w:lang w:eastAsia="ko-KR"/>
        </w:rPr>
        <w:t>On concatenation in NR</w:t>
      </w:r>
      <w:r>
        <w:rPr>
          <w:rFonts w:ascii="Arial" w:hAnsi="Arial" w:cs="Arial"/>
          <w:sz w:val="20"/>
          <w:szCs w:val="20"/>
          <w:lang w:eastAsia="ko-KR"/>
        </w:rPr>
        <w:t>,</w:t>
      </w:r>
      <w:r w:rsidRPr="00D4051A">
        <w:rPr>
          <w:rFonts w:ascii="Arial" w:hAnsi="Arial" w:cs="Arial"/>
          <w:sz w:val="20"/>
          <w:szCs w:val="20"/>
          <w:lang w:eastAsia="ko-KR"/>
        </w:rPr>
        <w:tab/>
        <w:t>Samsung, Alcatel-Lucent Shanghai Bell, ASUSTeK, Broadcom, CATT, CHTTL, Convida wireless, ETRI, HTC, Innovative Technology Lab Co., Intel, InterDigital, IPCom, KT Corp., LG Electronics Inc, Nokia, NTU, OPPO, Panasonic, Qualcomm Incorporated, Verizon Wireless, Xiaomi</w:t>
      </w:r>
      <w:bookmarkEnd w:id="11"/>
    </w:p>
    <w:p w14:paraId="2ADBE031" w14:textId="77777777" w:rsidR="00E42827" w:rsidRDefault="00E42827" w:rsidP="00E42827">
      <w:pPr>
        <w:pStyle w:val="ListParagraph"/>
        <w:numPr>
          <w:ilvl w:val="0"/>
          <w:numId w:val="21"/>
        </w:numPr>
        <w:spacing w:after="60"/>
        <w:rPr>
          <w:rFonts w:ascii="Arial" w:hAnsi="Arial" w:cs="Arial"/>
          <w:sz w:val="20"/>
          <w:szCs w:val="20"/>
          <w:lang w:eastAsia="ko-KR"/>
        </w:rPr>
      </w:pPr>
      <w:bookmarkStart w:id="12" w:name="_Ref458009541"/>
      <w:r>
        <w:rPr>
          <w:rFonts w:ascii="Arial" w:hAnsi="Arial" w:cs="Arial"/>
          <w:sz w:val="20"/>
          <w:szCs w:val="20"/>
          <w:lang w:eastAsia="ko-KR"/>
        </w:rPr>
        <w:t>TR 38.913, Study on scenarios and requirements for next generation access technologies</w:t>
      </w:r>
      <w:bookmarkEnd w:id="12"/>
    </w:p>
    <w:p w14:paraId="5581B872" w14:textId="50809339" w:rsidR="0040752E" w:rsidRDefault="00E33396" w:rsidP="0040752E">
      <w:pPr>
        <w:pStyle w:val="ListParagraph"/>
        <w:numPr>
          <w:ilvl w:val="0"/>
          <w:numId w:val="21"/>
        </w:numPr>
        <w:spacing w:after="60"/>
        <w:rPr>
          <w:rFonts w:ascii="Arial" w:hAnsi="Arial" w:cs="Arial"/>
          <w:sz w:val="20"/>
          <w:szCs w:val="20"/>
          <w:lang w:eastAsia="ko-KR"/>
        </w:rPr>
      </w:pPr>
      <w:bookmarkStart w:id="13" w:name="_Ref465662298"/>
      <w:r>
        <w:rPr>
          <w:rFonts w:ascii="Arial" w:hAnsi="Arial" w:cs="Arial"/>
          <w:sz w:val="20"/>
          <w:szCs w:val="20"/>
          <w:lang w:eastAsia="ko-KR"/>
        </w:rPr>
        <w:t>R2-166475, Concatenation for NR, Samsung</w:t>
      </w:r>
      <w:bookmarkEnd w:id="13"/>
    </w:p>
    <w:p w14:paraId="5918D80C" w14:textId="19842061" w:rsidR="0040752E" w:rsidRDefault="0040752E" w:rsidP="0040752E">
      <w:pPr>
        <w:pStyle w:val="ListParagraph"/>
        <w:numPr>
          <w:ilvl w:val="0"/>
          <w:numId w:val="21"/>
        </w:numPr>
        <w:spacing w:after="60"/>
        <w:rPr>
          <w:rFonts w:ascii="Arial" w:hAnsi="Arial" w:cs="Arial"/>
          <w:sz w:val="20"/>
          <w:szCs w:val="20"/>
          <w:lang w:eastAsia="ko-KR"/>
        </w:rPr>
      </w:pPr>
      <w:bookmarkStart w:id="14" w:name="_Ref465664488"/>
      <w:r>
        <w:rPr>
          <w:rFonts w:ascii="Arial" w:hAnsi="Arial" w:cs="Arial"/>
          <w:sz w:val="20"/>
          <w:szCs w:val="20"/>
          <w:lang w:eastAsia="ko-KR"/>
        </w:rPr>
        <w:t>R2-</w:t>
      </w:r>
      <w:r w:rsidR="0074620D">
        <w:rPr>
          <w:rFonts w:ascii="Arial" w:hAnsi="Arial" w:cs="Arial"/>
          <w:sz w:val="20"/>
          <w:szCs w:val="20"/>
          <w:lang w:eastAsia="ko-KR"/>
        </w:rPr>
        <w:t xml:space="preserve">166,347, Consideration on the pre-concatenation in RLC for NR, ZTE, ZTE </w:t>
      </w:r>
      <w:bookmarkEnd w:id="14"/>
      <w:r w:rsidR="00610151">
        <w:rPr>
          <w:rFonts w:ascii="Arial" w:hAnsi="Arial" w:cs="Arial"/>
          <w:sz w:val="20"/>
          <w:szCs w:val="20"/>
          <w:lang w:eastAsia="ko-KR"/>
        </w:rPr>
        <w:t>Microelectronics</w:t>
      </w:r>
    </w:p>
    <w:p w14:paraId="6F9CE2EC" w14:textId="6DA7CAB8" w:rsidR="0040752E" w:rsidRPr="0040752E" w:rsidRDefault="0040752E" w:rsidP="0040752E">
      <w:pPr>
        <w:pStyle w:val="ListParagraph"/>
        <w:numPr>
          <w:ilvl w:val="0"/>
          <w:numId w:val="21"/>
        </w:numPr>
        <w:spacing w:after="60"/>
        <w:rPr>
          <w:rFonts w:ascii="Arial" w:hAnsi="Arial" w:cs="Arial"/>
          <w:sz w:val="20"/>
          <w:szCs w:val="20"/>
          <w:lang w:eastAsia="ko-KR"/>
        </w:rPr>
      </w:pPr>
      <w:bookmarkStart w:id="15" w:name="_Ref465664523"/>
      <w:r>
        <w:rPr>
          <w:rFonts w:ascii="Arial" w:hAnsi="Arial" w:cs="Arial"/>
          <w:sz w:val="20"/>
          <w:szCs w:val="20"/>
          <w:lang w:eastAsia="ko-KR"/>
        </w:rPr>
        <w:t>R2-166197, Pre-construction of RLC PDU, Huawei, HiSilicon</w:t>
      </w:r>
      <w:bookmarkEnd w:id="15"/>
    </w:p>
    <w:p w14:paraId="3082F41E" w14:textId="77777777" w:rsidR="00E42827" w:rsidRPr="00E42827" w:rsidRDefault="00E42827" w:rsidP="00E42827">
      <w:pPr>
        <w:spacing w:after="60"/>
        <w:rPr>
          <w:rFonts w:ascii="Arial" w:hAnsi="Arial" w:cs="Arial"/>
          <w:lang w:eastAsia="ko-KR"/>
        </w:rPr>
      </w:pPr>
    </w:p>
    <w:sectPr w:rsidR="00E42827" w:rsidRPr="00E42827"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6005F" w14:textId="77777777" w:rsidR="0017327C" w:rsidRDefault="0017327C">
      <w:r>
        <w:separator/>
      </w:r>
    </w:p>
  </w:endnote>
  <w:endnote w:type="continuationSeparator" w:id="0">
    <w:p w14:paraId="268F3BB4" w14:textId="77777777" w:rsidR="0017327C" w:rsidRDefault="00173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E5E31" w14:textId="77777777" w:rsidR="0017327C" w:rsidRDefault="0017327C">
      <w:r>
        <w:separator/>
      </w:r>
    </w:p>
  </w:footnote>
  <w:footnote w:type="continuationSeparator" w:id="0">
    <w:p w14:paraId="0C0D851E" w14:textId="77777777" w:rsidR="0017327C" w:rsidRDefault="001732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9B3A1B"/>
    <w:multiLevelType w:val="hybridMultilevel"/>
    <w:tmpl w:val="03C4B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191E75"/>
    <w:multiLevelType w:val="hybridMultilevel"/>
    <w:tmpl w:val="B84846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FA2072"/>
    <w:multiLevelType w:val="hybridMultilevel"/>
    <w:tmpl w:val="97867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92E4D7E"/>
    <w:multiLevelType w:val="hybridMultilevel"/>
    <w:tmpl w:val="24F4ED94"/>
    <w:lvl w:ilvl="0" w:tplc="CA9C4E40">
      <w:start w:val="1"/>
      <w:numFmt w:val="bullet"/>
      <w:lvlText w:val="–"/>
      <w:lvlJc w:val="left"/>
      <w:pPr>
        <w:tabs>
          <w:tab w:val="num" w:pos="720"/>
        </w:tabs>
        <w:ind w:left="720" w:hanging="360"/>
      </w:pPr>
      <w:rPr>
        <w:rFonts w:ascii="Calibri Light" w:hAnsi="Calibri Light" w:hint="default"/>
      </w:rPr>
    </w:lvl>
    <w:lvl w:ilvl="1" w:tplc="74BCCCC4">
      <w:start w:val="1"/>
      <w:numFmt w:val="bullet"/>
      <w:lvlText w:val="–"/>
      <w:lvlJc w:val="left"/>
      <w:pPr>
        <w:tabs>
          <w:tab w:val="num" w:pos="1440"/>
        </w:tabs>
        <w:ind w:left="1440" w:hanging="360"/>
      </w:pPr>
      <w:rPr>
        <w:rFonts w:ascii="Calibri Light" w:hAnsi="Calibri Light" w:hint="default"/>
      </w:rPr>
    </w:lvl>
    <w:lvl w:ilvl="2" w:tplc="0E42550E" w:tentative="1">
      <w:start w:val="1"/>
      <w:numFmt w:val="bullet"/>
      <w:lvlText w:val="–"/>
      <w:lvlJc w:val="left"/>
      <w:pPr>
        <w:tabs>
          <w:tab w:val="num" w:pos="2160"/>
        </w:tabs>
        <w:ind w:left="2160" w:hanging="360"/>
      </w:pPr>
      <w:rPr>
        <w:rFonts w:ascii="Calibri Light" w:hAnsi="Calibri Light" w:hint="default"/>
      </w:rPr>
    </w:lvl>
    <w:lvl w:ilvl="3" w:tplc="5798FF26" w:tentative="1">
      <w:start w:val="1"/>
      <w:numFmt w:val="bullet"/>
      <w:lvlText w:val="–"/>
      <w:lvlJc w:val="left"/>
      <w:pPr>
        <w:tabs>
          <w:tab w:val="num" w:pos="2880"/>
        </w:tabs>
        <w:ind w:left="2880" w:hanging="360"/>
      </w:pPr>
      <w:rPr>
        <w:rFonts w:ascii="Calibri Light" w:hAnsi="Calibri Light" w:hint="default"/>
      </w:rPr>
    </w:lvl>
    <w:lvl w:ilvl="4" w:tplc="117C2132" w:tentative="1">
      <w:start w:val="1"/>
      <w:numFmt w:val="bullet"/>
      <w:lvlText w:val="–"/>
      <w:lvlJc w:val="left"/>
      <w:pPr>
        <w:tabs>
          <w:tab w:val="num" w:pos="3600"/>
        </w:tabs>
        <w:ind w:left="3600" w:hanging="360"/>
      </w:pPr>
      <w:rPr>
        <w:rFonts w:ascii="Calibri Light" w:hAnsi="Calibri Light" w:hint="default"/>
      </w:rPr>
    </w:lvl>
    <w:lvl w:ilvl="5" w:tplc="F02456B8" w:tentative="1">
      <w:start w:val="1"/>
      <w:numFmt w:val="bullet"/>
      <w:lvlText w:val="–"/>
      <w:lvlJc w:val="left"/>
      <w:pPr>
        <w:tabs>
          <w:tab w:val="num" w:pos="4320"/>
        </w:tabs>
        <w:ind w:left="4320" w:hanging="360"/>
      </w:pPr>
      <w:rPr>
        <w:rFonts w:ascii="Calibri Light" w:hAnsi="Calibri Light" w:hint="default"/>
      </w:rPr>
    </w:lvl>
    <w:lvl w:ilvl="6" w:tplc="69CAF7B8" w:tentative="1">
      <w:start w:val="1"/>
      <w:numFmt w:val="bullet"/>
      <w:lvlText w:val="–"/>
      <w:lvlJc w:val="left"/>
      <w:pPr>
        <w:tabs>
          <w:tab w:val="num" w:pos="5040"/>
        </w:tabs>
        <w:ind w:left="5040" w:hanging="360"/>
      </w:pPr>
      <w:rPr>
        <w:rFonts w:ascii="Calibri Light" w:hAnsi="Calibri Light" w:hint="default"/>
      </w:rPr>
    </w:lvl>
    <w:lvl w:ilvl="7" w:tplc="FF46B668" w:tentative="1">
      <w:start w:val="1"/>
      <w:numFmt w:val="bullet"/>
      <w:lvlText w:val="–"/>
      <w:lvlJc w:val="left"/>
      <w:pPr>
        <w:tabs>
          <w:tab w:val="num" w:pos="5760"/>
        </w:tabs>
        <w:ind w:left="5760" w:hanging="360"/>
      </w:pPr>
      <w:rPr>
        <w:rFonts w:ascii="Calibri Light" w:hAnsi="Calibri Light" w:hint="default"/>
      </w:rPr>
    </w:lvl>
    <w:lvl w:ilvl="8" w:tplc="2E7CD9C6" w:tentative="1">
      <w:start w:val="1"/>
      <w:numFmt w:val="bullet"/>
      <w:lvlText w:val="–"/>
      <w:lvlJc w:val="left"/>
      <w:pPr>
        <w:tabs>
          <w:tab w:val="num" w:pos="6480"/>
        </w:tabs>
        <w:ind w:left="6480" w:hanging="360"/>
      </w:pPr>
      <w:rPr>
        <w:rFonts w:ascii="Calibri Light" w:hAnsi="Calibri Light" w:hint="default"/>
      </w:rPr>
    </w:lvl>
  </w:abstractNum>
  <w:abstractNum w:abstractNumId="35"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6"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0"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DD46BD"/>
    <w:multiLevelType w:val="hybridMultilevel"/>
    <w:tmpl w:val="F1167F1A"/>
    <w:lvl w:ilvl="0" w:tplc="359E73B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16"/>
  </w:num>
  <w:num w:numId="4">
    <w:abstractNumId w:val="7"/>
  </w:num>
  <w:num w:numId="5">
    <w:abstractNumId w:val="40"/>
  </w:num>
  <w:num w:numId="6">
    <w:abstractNumId w:val="26"/>
  </w:num>
  <w:num w:numId="7">
    <w:abstractNumId w:val="23"/>
  </w:num>
  <w:num w:numId="8">
    <w:abstractNumId w:val="11"/>
  </w:num>
  <w:num w:numId="9">
    <w:abstractNumId w:val="30"/>
  </w:num>
  <w:num w:numId="10">
    <w:abstractNumId w:val="12"/>
  </w:num>
  <w:num w:numId="11">
    <w:abstractNumId w:val="4"/>
  </w:num>
  <w:num w:numId="12">
    <w:abstractNumId w:val="3"/>
  </w:num>
  <w:num w:numId="13">
    <w:abstractNumId w:val="31"/>
  </w:num>
  <w:num w:numId="14">
    <w:abstractNumId w:val="33"/>
  </w:num>
  <w:num w:numId="15">
    <w:abstractNumId w:val="13"/>
  </w:num>
  <w:num w:numId="16">
    <w:abstractNumId w:val="37"/>
  </w:num>
  <w:num w:numId="17">
    <w:abstractNumId w:val="21"/>
  </w:num>
  <w:num w:numId="18">
    <w:abstractNumId w:val="38"/>
  </w:num>
  <w:num w:numId="19">
    <w:abstractNumId w:val="35"/>
  </w:num>
  <w:num w:numId="20">
    <w:abstractNumId w:val="17"/>
  </w:num>
  <w:num w:numId="21">
    <w:abstractNumId w:val="0"/>
  </w:num>
  <w:num w:numId="22">
    <w:abstractNumId w:val="22"/>
  </w:num>
  <w:num w:numId="23">
    <w:abstractNumId w:val="9"/>
  </w:num>
  <w:num w:numId="24">
    <w:abstractNumId w:val="18"/>
  </w:num>
  <w:num w:numId="25">
    <w:abstractNumId w:val="2"/>
  </w:num>
  <w:num w:numId="26">
    <w:abstractNumId w:val="24"/>
  </w:num>
  <w:num w:numId="27">
    <w:abstractNumId w:val="39"/>
  </w:num>
  <w:num w:numId="28">
    <w:abstractNumId w:val="25"/>
  </w:num>
  <w:num w:numId="29">
    <w:abstractNumId w:val="32"/>
  </w:num>
  <w:num w:numId="30">
    <w:abstractNumId w:val="29"/>
  </w:num>
  <w:num w:numId="31">
    <w:abstractNumId w:val="20"/>
  </w:num>
  <w:num w:numId="32">
    <w:abstractNumId w:val="15"/>
  </w:num>
  <w:num w:numId="33">
    <w:abstractNumId w:val="27"/>
  </w:num>
  <w:num w:numId="34">
    <w:abstractNumId w:val="14"/>
  </w:num>
  <w:num w:numId="35">
    <w:abstractNumId w:val="6"/>
  </w:num>
  <w:num w:numId="36">
    <w:abstractNumId w:val="1"/>
  </w:num>
  <w:num w:numId="37">
    <w:abstractNumId w:val="28"/>
  </w:num>
  <w:num w:numId="38">
    <w:abstractNumId w:val="5"/>
  </w:num>
  <w:num w:numId="39">
    <w:abstractNumId w:val="19"/>
  </w:num>
  <w:num w:numId="40">
    <w:abstractNumId w:val="41"/>
  </w:num>
  <w:num w:numId="41">
    <w:abstractNumId w:val="34"/>
  </w:num>
  <w:num w:numId="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72F3"/>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820"/>
    <w:rsid w:val="00043990"/>
    <w:rsid w:val="00045286"/>
    <w:rsid w:val="0004535F"/>
    <w:rsid w:val="00045B75"/>
    <w:rsid w:val="00046193"/>
    <w:rsid w:val="000466DA"/>
    <w:rsid w:val="0004696C"/>
    <w:rsid w:val="00046B2C"/>
    <w:rsid w:val="00047D19"/>
    <w:rsid w:val="00050A6D"/>
    <w:rsid w:val="00051913"/>
    <w:rsid w:val="0005466B"/>
    <w:rsid w:val="00054D4E"/>
    <w:rsid w:val="00056789"/>
    <w:rsid w:val="00057E1E"/>
    <w:rsid w:val="000616F5"/>
    <w:rsid w:val="000617F2"/>
    <w:rsid w:val="0006197D"/>
    <w:rsid w:val="00062088"/>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4768"/>
    <w:rsid w:val="00084830"/>
    <w:rsid w:val="00085800"/>
    <w:rsid w:val="000859A4"/>
    <w:rsid w:val="00086192"/>
    <w:rsid w:val="00086485"/>
    <w:rsid w:val="00087111"/>
    <w:rsid w:val="00090586"/>
    <w:rsid w:val="00090623"/>
    <w:rsid w:val="000916F3"/>
    <w:rsid w:val="00093DAE"/>
    <w:rsid w:val="00094840"/>
    <w:rsid w:val="00096800"/>
    <w:rsid w:val="000A04CC"/>
    <w:rsid w:val="000A0924"/>
    <w:rsid w:val="000A114C"/>
    <w:rsid w:val="000A2211"/>
    <w:rsid w:val="000A2BA4"/>
    <w:rsid w:val="000A4FD5"/>
    <w:rsid w:val="000A578F"/>
    <w:rsid w:val="000A763C"/>
    <w:rsid w:val="000A799D"/>
    <w:rsid w:val="000B3BFD"/>
    <w:rsid w:val="000B4201"/>
    <w:rsid w:val="000B5AE5"/>
    <w:rsid w:val="000B5B58"/>
    <w:rsid w:val="000B63E7"/>
    <w:rsid w:val="000B71CD"/>
    <w:rsid w:val="000C00BC"/>
    <w:rsid w:val="000C0FCB"/>
    <w:rsid w:val="000C2021"/>
    <w:rsid w:val="000C372D"/>
    <w:rsid w:val="000C39A0"/>
    <w:rsid w:val="000C4614"/>
    <w:rsid w:val="000C47E2"/>
    <w:rsid w:val="000C4AD7"/>
    <w:rsid w:val="000C5C9F"/>
    <w:rsid w:val="000C6598"/>
    <w:rsid w:val="000C6BFC"/>
    <w:rsid w:val="000C6E8D"/>
    <w:rsid w:val="000C7C43"/>
    <w:rsid w:val="000D0AA6"/>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190A"/>
    <w:rsid w:val="000E2FE6"/>
    <w:rsid w:val="000E3C08"/>
    <w:rsid w:val="000E4059"/>
    <w:rsid w:val="000E460B"/>
    <w:rsid w:val="000E576C"/>
    <w:rsid w:val="000F0135"/>
    <w:rsid w:val="000F0675"/>
    <w:rsid w:val="000F339D"/>
    <w:rsid w:val="000F411B"/>
    <w:rsid w:val="000F42A7"/>
    <w:rsid w:val="000F4EC7"/>
    <w:rsid w:val="000F51F6"/>
    <w:rsid w:val="000F53AA"/>
    <w:rsid w:val="000F5DEC"/>
    <w:rsid w:val="000F7480"/>
    <w:rsid w:val="000F7C88"/>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20A9F"/>
    <w:rsid w:val="001214D4"/>
    <w:rsid w:val="00122F69"/>
    <w:rsid w:val="00124226"/>
    <w:rsid w:val="0012486D"/>
    <w:rsid w:val="001251C8"/>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BD7"/>
    <w:rsid w:val="00146E53"/>
    <w:rsid w:val="00150068"/>
    <w:rsid w:val="00150A4E"/>
    <w:rsid w:val="001538A4"/>
    <w:rsid w:val="00153CEE"/>
    <w:rsid w:val="00154B94"/>
    <w:rsid w:val="001555D7"/>
    <w:rsid w:val="00156A1A"/>
    <w:rsid w:val="00156DB3"/>
    <w:rsid w:val="001573F9"/>
    <w:rsid w:val="00157560"/>
    <w:rsid w:val="00161C62"/>
    <w:rsid w:val="00163241"/>
    <w:rsid w:val="0016427F"/>
    <w:rsid w:val="00167588"/>
    <w:rsid w:val="00167FC4"/>
    <w:rsid w:val="0017209C"/>
    <w:rsid w:val="00172F10"/>
    <w:rsid w:val="0017327C"/>
    <w:rsid w:val="00173394"/>
    <w:rsid w:val="00175528"/>
    <w:rsid w:val="001757E5"/>
    <w:rsid w:val="00176899"/>
    <w:rsid w:val="00176D07"/>
    <w:rsid w:val="00183903"/>
    <w:rsid w:val="00184D44"/>
    <w:rsid w:val="00184F44"/>
    <w:rsid w:val="00185AA3"/>
    <w:rsid w:val="00186027"/>
    <w:rsid w:val="001861C3"/>
    <w:rsid w:val="001912AE"/>
    <w:rsid w:val="00191FD3"/>
    <w:rsid w:val="00192268"/>
    <w:rsid w:val="0019388C"/>
    <w:rsid w:val="00193DF8"/>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6F16"/>
    <w:rsid w:val="001B7764"/>
    <w:rsid w:val="001C227D"/>
    <w:rsid w:val="001C4139"/>
    <w:rsid w:val="001C4279"/>
    <w:rsid w:val="001C5548"/>
    <w:rsid w:val="001C56C4"/>
    <w:rsid w:val="001D14B9"/>
    <w:rsid w:val="001D1750"/>
    <w:rsid w:val="001D18C0"/>
    <w:rsid w:val="001D1C03"/>
    <w:rsid w:val="001D3B68"/>
    <w:rsid w:val="001D4B18"/>
    <w:rsid w:val="001D7A4B"/>
    <w:rsid w:val="001E22CA"/>
    <w:rsid w:val="001E238F"/>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BA5"/>
    <w:rsid w:val="00203ECF"/>
    <w:rsid w:val="00204404"/>
    <w:rsid w:val="00204ACF"/>
    <w:rsid w:val="002063D7"/>
    <w:rsid w:val="00206547"/>
    <w:rsid w:val="002105D7"/>
    <w:rsid w:val="00211BC8"/>
    <w:rsid w:val="00212C42"/>
    <w:rsid w:val="0021307E"/>
    <w:rsid w:val="002135F1"/>
    <w:rsid w:val="00213889"/>
    <w:rsid w:val="00213B98"/>
    <w:rsid w:val="00214431"/>
    <w:rsid w:val="0021496E"/>
    <w:rsid w:val="00215655"/>
    <w:rsid w:val="00215C93"/>
    <w:rsid w:val="00216149"/>
    <w:rsid w:val="00216F07"/>
    <w:rsid w:val="00220452"/>
    <w:rsid w:val="00220B0C"/>
    <w:rsid w:val="00220BD4"/>
    <w:rsid w:val="00220CA2"/>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22F3"/>
    <w:rsid w:val="00242C69"/>
    <w:rsid w:val="00243F66"/>
    <w:rsid w:val="002446BD"/>
    <w:rsid w:val="002460C7"/>
    <w:rsid w:val="00246EED"/>
    <w:rsid w:val="00250CCE"/>
    <w:rsid w:val="00251AF4"/>
    <w:rsid w:val="002520B4"/>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521F"/>
    <w:rsid w:val="00265364"/>
    <w:rsid w:val="00265B8E"/>
    <w:rsid w:val="002660A9"/>
    <w:rsid w:val="0026636B"/>
    <w:rsid w:val="00270888"/>
    <w:rsid w:val="00270C0F"/>
    <w:rsid w:val="00271063"/>
    <w:rsid w:val="00271C57"/>
    <w:rsid w:val="002733ED"/>
    <w:rsid w:val="00274C15"/>
    <w:rsid w:val="00275390"/>
    <w:rsid w:val="002753F9"/>
    <w:rsid w:val="00275BF8"/>
    <w:rsid w:val="00275D12"/>
    <w:rsid w:val="00275FE8"/>
    <w:rsid w:val="0027604A"/>
    <w:rsid w:val="002772F6"/>
    <w:rsid w:val="00277C14"/>
    <w:rsid w:val="00280589"/>
    <w:rsid w:val="00282C98"/>
    <w:rsid w:val="00282E85"/>
    <w:rsid w:val="00283A85"/>
    <w:rsid w:val="0028453C"/>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6EBC"/>
    <w:rsid w:val="002971A0"/>
    <w:rsid w:val="00297B9D"/>
    <w:rsid w:val="002A2497"/>
    <w:rsid w:val="002A45F5"/>
    <w:rsid w:val="002A49B1"/>
    <w:rsid w:val="002A6239"/>
    <w:rsid w:val="002B0388"/>
    <w:rsid w:val="002B1F9F"/>
    <w:rsid w:val="002B34B2"/>
    <w:rsid w:val="002B4CB7"/>
    <w:rsid w:val="002B5399"/>
    <w:rsid w:val="002B6AF2"/>
    <w:rsid w:val="002B6F66"/>
    <w:rsid w:val="002B711A"/>
    <w:rsid w:val="002C01C2"/>
    <w:rsid w:val="002C0558"/>
    <w:rsid w:val="002C20BD"/>
    <w:rsid w:val="002C38AE"/>
    <w:rsid w:val="002C42B7"/>
    <w:rsid w:val="002C45D8"/>
    <w:rsid w:val="002C5DE1"/>
    <w:rsid w:val="002C5EBE"/>
    <w:rsid w:val="002C600F"/>
    <w:rsid w:val="002C77B7"/>
    <w:rsid w:val="002C7A7D"/>
    <w:rsid w:val="002D0FF0"/>
    <w:rsid w:val="002D1E2C"/>
    <w:rsid w:val="002D2C83"/>
    <w:rsid w:val="002D3624"/>
    <w:rsid w:val="002D379A"/>
    <w:rsid w:val="002D37E8"/>
    <w:rsid w:val="002D4A64"/>
    <w:rsid w:val="002D7BD2"/>
    <w:rsid w:val="002E08D7"/>
    <w:rsid w:val="002E1CC9"/>
    <w:rsid w:val="002E223D"/>
    <w:rsid w:val="002E2245"/>
    <w:rsid w:val="002E2C75"/>
    <w:rsid w:val="002E3C1B"/>
    <w:rsid w:val="002E3C6E"/>
    <w:rsid w:val="002E4480"/>
    <w:rsid w:val="002E51FD"/>
    <w:rsid w:val="002E5248"/>
    <w:rsid w:val="002E72E7"/>
    <w:rsid w:val="002E7A1E"/>
    <w:rsid w:val="002F0253"/>
    <w:rsid w:val="002F0969"/>
    <w:rsid w:val="002F1DE6"/>
    <w:rsid w:val="002F2F00"/>
    <w:rsid w:val="002F3F09"/>
    <w:rsid w:val="002F5E12"/>
    <w:rsid w:val="002F71C4"/>
    <w:rsid w:val="002F7598"/>
    <w:rsid w:val="002F787B"/>
    <w:rsid w:val="00301835"/>
    <w:rsid w:val="003030DF"/>
    <w:rsid w:val="00304023"/>
    <w:rsid w:val="00310108"/>
    <w:rsid w:val="00310796"/>
    <w:rsid w:val="003118A6"/>
    <w:rsid w:val="00311A26"/>
    <w:rsid w:val="003134E9"/>
    <w:rsid w:val="00313F90"/>
    <w:rsid w:val="00316B20"/>
    <w:rsid w:val="003176AE"/>
    <w:rsid w:val="003206A0"/>
    <w:rsid w:val="00320FDF"/>
    <w:rsid w:val="003225AD"/>
    <w:rsid w:val="00324EB9"/>
    <w:rsid w:val="0032527B"/>
    <w:rsid w:val="003259C2"/>
    <w:rsid w:val="00326D62"/>
    <w:rsid w:val="0032716A"/>
    <w:rsid w:val="00331B7C"/>
    <w:rsid w:val="0033379C"/>
    <w:rsid w:val="00335150"/>
    <w:rsid w:val="0033524A"/>
    <w:rsid w:val="0033559B"/>
    <w:rsid w:val="00335874"/>
    <w:rsid w:val="003358FA"/>
    <w:rsid w:val="00335F83"/>
    <w:rsid w:val="0034093A"/>
    <w:rsid w:val="003414D8"/>
    <w:rsid w:val="00343389"/>
    <w:rsid w:val="0034475B"/>
    <w:rsid w:val="003452F0"/>
    <w:rsid w:val="0034739C"/>
    <w:rsid w:val="00351105"/>
    <w:rsid w:val="00354116"/>
    <w:rsid w:val="003545DC"/>
    <w:rsid w:val="00355BEA"/>
    <w:rsid w:val="003568B6"/>
    <w:rsid w:val="0036039F"/>
    <w:rsid w:val="00360916"/>
    <w:rsid w:val="0036262E"/>
    <w:rsid w:val="00362EE8"/>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E72"/>
    <w:rsid w:val="00374F27"/>
    <w:rsid w:val="003750A3"/>
    <w:rsid w:val="003752E2"/>
    <w:rsid w:val="003755A2"/>
    <w:rsid w:val="0037643B"/>
    <w:rsid w:val="00377924"/>
    <w:rsid w:val="00382075"/>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6280"/>
    <w:rsid w:val="00396BF5"/>
    <w:rsid w:val="00397013"/>
    <w:rsid w:val="003978D4"/>
    <w:rsid w:val="003A17B8"/>
    <w:rsid w:val="003A1A33"/>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46"/>
    <w:rsid w:val="003D07D5"/>
    <w:rsid w:val="003D21E0"/>
    <w:rsid w:val="003D2A05"/>
    <w:rsid w:val="003D38FA"/>
    <w:rsid w:val="003D4543"/>
    <w:rsid w:val="003D506B"/>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F0316"/>
    <w:rsid w:val="003F0FD0"/>
    <w:rsid w:val="003F1B5D"/>
    <w:rsid w:val="003F2012"/>
    <w:rsid w:val="003F2453"/>
    <w:rsid w:val="003F3A6C"/>
    <w:rsid w:val="003F484A"/>
    <w:rsid w:val="003F4BB7"/>
    <w:rsid w:val="003F5AA4"/>
    <w:rsid w:val="003F69E0"/>
    <w:rsid w:val="003F7443"/>
    <w:rsid w:val="003F7489"/>
    <w:rsid w:val="003F7A92"/>
    <w:rsid w:val="004011F8"/>
    <w:rsid w:val="0040180A"/>
    <w:rsid w:val="00402229"/>
    <w:rsid w:val="004023C9"/>
    <w:rsid w:val="004027EA"/>
    <w:rsid w:val="00404DA2"/>
    <w:rsid w:val="0040523B"/>
    <w:rsid w:val="004054A3"/>
    <w:rsid w:val="0040664D"/>
    <w:rsid w:val="0040752E"/>
    <w:rsid w:val="00410758"/>
    <w:rsid w:val="004110D2"/>
    <w:rsid w:val="004119BD"/>
    <w:rsid w:val="00412269"/>
    <w:rsid w:val="00412526"/>
    <w:rsid w:val="00412E96"/>
    <w:rsid w:val="0041350F"/>
    <w:rsid w:val="004157C5"/>
    <w:rsid w:val="0041766C"/>
    <w:rsid w:val="0041777A"/>
    <w:rsid w:val="00417916"/>
    <w:rsid w:val="004208EC"/>
    <w:rsid w:val="00421356"/>
    <w:rsid w:val="0042170A"/>
    <w:rsid w:val="00421E34"/>
    <w:rsid w:val="00424C72"/>
    <w:rsid w:val="00424EC4"/>
    <w:rsid w:val="00425EC2"/>
    <w:rsid w:val="0042609B"/>
    <w:rsid w:val="004262F6"/>
    <w:rsid w:val="00426C33"/>
    <w:rsid w:val="0042773E"/>
    <w:rsid w:val="0043576A"/>
    <w:rsid w:val="004406BC"/>
    <w:rsid w:val="004408E1"/>
    <w:rsid w:val="004423FA"/>
    <w:rsid w:val="00443303"/>
    <w:rsid w:val="004435E2"/>
    <w:rsid w:val="00444939"/>
    <w:rsid w:val="00444E7E"/>
    <w:rsid w:val="00446A61"/>
    <w:rsid w:val="00446BC2"/>
    <w:rsid w:val="00447317"/>
    <w:rsid w:val="00451D52"/>
    <w:rsid w:val="00452B50"/>
    <w:rsid w:val="00452FA4"/>
    <w:rsid w:val="0045306C"/>
    <w:rsid w:val="00453AB3"/>
    <w:rsid w:val="00454A01"/>
    <w:rsid w:val="00454A24"/>
    <w:rsid w:val="00454F53"/>
    <w:rsid w:val="00456B60"/>
    <w:rsid w:val="00460075"/>
    <w:rsid w:val="004602F2"/>
    <w:rsid w:val="004633C5"/>
    <w:rsid w:val="004635C3"/>
    <w:rsid w:val="004636E9"/>
    <w:rsid w:val="00463BBF"/>
    <w:rsid w:val="004647B7"/>
    <w:rsid w:val="00465089"/>
    <w:rsid w:val="004655D7"/>
    <w:rsid w:val="004656DF"/>
    <w:rsid w:val="0046682C"/>
    <w:rsid w:val="00467CFD"/>
    <w:rsid w:val="004705C0"/>
    <w:rsid w:val="0047090B"/>
    <w:rsid w:val="00471DB1"/>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662C"/>
    <w:rsid w:val="00486DEB"/>
    <w:rsid w:val="00487CF1"/>
    <w:rsid w:val="00490991"/>
    <w:rsid w:val="004909E0"/>
    <w:rsid w:val="00490ACF"/>
    <w:rsid w:val="00490C69"/>
    <w:rsid w:val="004929B0"/>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4817"/>
    <w:rsid w:val="004A60EB"/>
    <w:rsid w:val="004A655F"/>
    <w:rsid w:val="004A6603"/>
    <w:rsid w:val="004A7D5C"/>
    <w:rsid w:val="004A7E65"/>
    <w:rsid w:val="004B044C"/>
    <w:rsid w:val="004B18BB"/>
    <w:rsid w:val="004B3131"/>
    <w:rsid w:val="004B7396"/>
    <w:rsid w:val="004B7810"/>
    <w:rsid w:val="004C08D5"/>
    <w:rsid w:val="004C1035"/>
    <w:rsid w:val="004C18D2"/>
    <w:rsid w:val="004C2583"/>
    <w:rsid w:val="004C36F7"/>
    <w:rsid w:val="004C38AE"/>
    <w:rsid w:val="004C54F1"/>
    <w:rsid w:val="004C583D"/>
    <w:rsid w:val="004D2685"/>
    <w:rsid w:val="004D3139"/>
    <w:rsid w:val="004D46DE"/>
    <w:rsid w:val="004D58C4"/>
    <w:rsid w:val="004D5CC7"/>
    <w:rsid w:val="004D6F9B"/>
    <w:rsid w:val="004D750F"/>
    <w:rsid w:val="004E057F"/>
    <w:rsid w:val="004E1201"/>
    <w:rsid w:val="004E18EC"/>
    <w:rsid w:val="004E23D5"/>
    <w:rsid w:val="004F0227"/>
    <w:rsid w:val="004F153C"/>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0770F"/>
    <w:rsid w:val="00507EA3"/>
    <w:rsid w:val="005115C9"/>
    <w:rsid w:val="0051246D"/>
    <w:rsid w:val="00513269"/>
    <w:rsid w:val="00513D6A"/>
    <w:rsid w:val="005163AB"/>
    <w:rsid w:val="00516D02"/>
    <w:rsid w:val="0051793B"/>
    <w:rsid w:val="005204A5"/>
    <w:rsid w:val="00522A57"/>
    <w:rsid w:val="00522D90"/>
    <w:rsid w:val="00523349"/>
    <w:rsid w:val="00524BB1"/>
    <w:rsid w:val="00524FB6"/>
    <w:rsid w:val="00525774"/>
    <w:rsid w:val="0052583C"/>
    <w:rsid w:val="005261F7"/>
    <w:rsid w:val="00526A21"/>
    <w:rsid w:val="00526B67"/>
    <w:rsid w:val="00526EDE"/>
    <w:rsid w:val="0052760B"/>
    <w:rsid w:val="00530191"/>
    <w:rsid w:val="00530958"/>
    <w:rsid w:val="00531D94"/>
    <w:rsid w:val="00533164"/>
    <w:rsid w:val="005339E3"/>
    <w:rsid w:val="00534359"/>
    <w:rsid w:val="00537CEF"/>
    <w:rsid w:val="0054099C"/>
    <w:rsid w:val="00540F93"/>
    <w:rsid w:val="0054171E"/>
    <w:rsid w:val="00542904"/>
    <w:rsid w:val="00543D4E"/>
    <w:rsid w:val="00547241"/>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11A0"/>
    <w:rsid w:val="00561ACD"/>
    <w:rsid w:val="005629F7"/>
    <w:rsid w:val="00562CAE"/>
    <w:rsid w:val="0056367A"/>
    <w:rsid w:val="005654FC"/>
    <w:rsid w:val="005658C7"/>
    <w:rsid w:val="005675BE"/>
    <w:rsid w:val="00567A15"/>
    <w:rsid w:val="00567E3E"/>
    <w:rsid w:val="00571C87"/>
    <w:rsid w:val="00571DB2"/>
    <w:rsid w:val="00572575"/>
    <w:rsid w:val="0057378B"/>
    <w:rsid w:val="00574290"/>
    <w:rsid w:val="005743C1"/>
    <w:rsid w:val="00574A20"/>
    <w:rsid w:val="00574BC2"/>
    <w:rsid w:val="00575C52"/>
    <w:rsid w:val="00576C0B"/>
    <w:rsid w:val="0057716E"/>
    <w:rsid w:val="0057744F"/>
    <w:rsid w:val="005776EB"/>
    <w:rsid w:val="00577E45"/>
    <w:rsid w:val="00580516"/>
    <w:rsid w:val="00580A23"/>
    <w:rsid w:val="00580C0B"/>
    <w:rsid w:val="005820C6"/>
    <w:rsid w:val="0058222E"/>
    <w:rsid w:val="00582602"/>
    <w:rsid w:val="00584ABE"/>
    <w:rsid w:val="00585B5B"/>
    <w:rsid w:val="00586D15"/>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7EF1"/>
    <w:rsid w:val="005A01B7"/>
    <w:rsid w:val="005A05F9"/>
    <w:rsid w:val="005A0737"/>
    <w:rsid w:val="005A0A18"/>
    <w:rsid w:val="005A0FA9"/>
    <w:rsid w:val="005A1E9C"/>
    <w:rsid w:val="005A2C51"/>
    <w:rsid w:val="005A316E"/>
    <w:rsid w:val="005A448F"/>
    <w:rsid w:val="005A4A8D"/>
    <w:rsid w:val="005A5CA8"/>
    <w:rsid w:val="005A5DE3"/>
    <w:rsid w:val="005A6086"/>
    <w:rsid w:val="005A6BCC"/>
    <w:rsid w:val="005A6F84"/>
    <w:rsid w:val="005B002B"/>
    <w:rsid w:val="005B0101"/>
    <w:rsid w:val="005B04EE"/>
    <w:rsid w:val="005B0B0B"/>
    <w:rsid w:val="005B3348"/>
    <w:rsid w:val="005B4013"/>
    <w:rsid w:val="005B460E"/>
    <w:rsid w:val="005B577A"/>
    <w:rsid w:val="005B58B9"/>
    <w:rsid w:val="005B6C54"/>
    <w:rsid w:val="005B72F3"/>
    <w:rsid w:val="005C088D"/>
    <w:rsid w:val="005C08C6"/>
    <w:rsid w:val="005C0A93"/>
    <w:rsid w:val="005C0C68"/>
    <w:rsid w:val="005C1F63"/>
    <w:rsid w:val="005C243C"/>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1CB7"/>
    <w:rsid w:val="005F22FF"/>
    <w:rsid w:val="005F4A0C"/>
    <w:rsid w:val="005F64F6"/>
    <w:rsid w:val="005F6BD3"/>
    <w:rsid w:val="005F6DED"/>
    <w:rsid w:val="005F6E25"/>
    <w:rsid w:val="005F759F"/>
    <w:rsid w:val="005F7D19"/>
    <w:rsid w:val="00600497"/>
    <w:rsid w:val="00600F12"/>
    <w:rsid w:val="00602312"/>
    <w:rsid w:val="006025F1"/>
    <w:rsid w:val="00603574"/>
    <w:rsid w:val="0060471B"/>
    <w:rsid w:val="00607945"/>
    <w:rsid w:val="00607D32"/>
    <w:rsid w:val="00610151"/>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05E9"/>
    <w:rsid w:val="00632D98"/>
    <w:rsid w:val="006334EF"/>
    <w:rsid w:val="00635288"/>
    <w:rsid w:val="00635CA2"/>
    <w:rsid w:val="006363F7"/>
    <w:rsid w:val="00636659"/>
    <w:rsid w:val="00636953"/>
    <w:rsid w:val="00636D53"/>
    <w:rsid w:val="0064005F"/>
    <w:rsid w:val="00642EB1"/>
    <w:rsid w:val="00643212"/>
    <w:rsid w:val="006435BF"/>
    <w:rsid w:val="00644081"/>
    <w:rsid w:val="0064414F"/>
    <w:rsid w:val="00644959"/>
    <w:rsid w:val="00644F40"/>
    <w:rsid w:val="0064513E"/>
    <w:rsid w:val="006463B2"/>
    <w:rsid w:val="00647302"/>
    <w:rsid w:val="00647DE4"/>
    <w:rsid w:val="006522D8"/>
    <w:rsid w:val="006534F3"/>
    <w:rsid w:val="0065373D"/>
    <w:rsid w:val="00653807"/>
    <w:rsid w:val="00655D95"/>
    <w:rsid w:val="0065777C"/>
    <w:rsid w:val="00657A1C"/>
    <w:rsid w:val="00661084"/>
    <w:rsid w:val="00661721"/>
    <w:rsid w:val="00662440"/>
    <w:rsid w:val="00662ED6"/>
    <w:rsid w:val="0066329A"/>
    <w:rsid w:val="006647D0"/>
    <w:rsid w:val="00666DC3"/>
    <w:rsid w:val="00670442"/>
    <w:rsid w:val="00670DE7"/>
    <w:rsid w:val="00670EDD"/>
    <w:rsid w:val="00671B57"/>
    <w:rsid w:val="00674CE0"/>
    <w:rsid w:val="006753B2"/>
    <w:rsid w:val="006759D4"/>
    <w:rsid w:val="00675EEA"/>
    <w:rsid w:val="0067731B"/>
    <w:rsid w:val="00677457"/>
    <w:rsid w:val="006823D5"/>
    <w:rsid w:val="0068436F"/>
    <w:rsid w:val="00684866"/>
    <w:rsid w:val="00684F33"/>
    <w:rsid w:val="0068531F"/>
    <w:rsid w:val="00686208"/>
    <w:rsid w:val="00687324"/>
    <w:rsid w:val="0068797A"/>
    <w:rsid w:val="00687FD6"/>
    <w:rsid w:val="00690277"/>
    <w:rsid w:val="0069085C"/>
    <w:rsid w:val="00692DD0"/>
    <w:rsid w:val="0069388E"/>
    <w:rsid w:val="006939BD"/>
    <w:rsid w:val="00693C62"/>
    <w:rsid w:val="006940E2"/>
    <w:rsid w:val="0069451C"/>
    <w:rsid w:val="006A0910"/>
    <w:rsid w:val="006A0EB1"/>
    <w:rsid w:val="006A12BA"/>
    <w:rsid w:val="006A1BA8"/>
    <w:rsid w:val="006A3485"/>
    <w:rsid w:val="006A4121"/>
    <w:rsid w:val="006A4EF0"/>
    <w:rsid w:val="006A549B"/>
    <w:rsid w:val="006A5914"/>
    <w:rsid w:val="006A5C27"/>
    <w:rsid w:val="006A6633"/>
    <w:rsid w:val="006A6FFB"/>
    <w:rsid w:val="006A7B9A"/>
    <w:rsid w:val="006B0749"/>
    <w:rsid w:val="006B0778"/>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EDD"/>
    <w:rsid w:val="006C58B0"/>
    <w:rsid w:val="006C689B"/>
    <w:rsid w:val="006C6B47"/>
    <w:rsid w:val="006C7A05"/>
    <w:rsid w:val="006C7B09"/>
    <w:rsid w:val="006D01A3"/>
    <w:rsid w:val="006D051E"/>
    <w:rsid w:val="006D07B0"/>
    <w:rsid w:val="006D0BDE"/>
    <w:rsid w:val="006D1707"/>
    <w:rsid w:val="006D2E78"/>
    <w:rsid w:val="006D33C5"/>
    <w:rsid w:val="006D3600"/>
    <w:rsid w:val="006D39E8"/>
    <w:rsid w:val="006D6D5F"/>
    <w:rsid w:val="006D7581"/>
    <w:rsid w:val="006D7776"/>
    <w:rsid w:val="006E21FB"/>
    <w:rsid w:val="006E2D77"/>
    <w:rsid w:val="006E3061"/>
    <w:rsid w:val="006F0093"/>
    <w:rsid w:val="006F0D69"/>
    <w:rsid w:val="006F1027"/>
    <w:rsid w:val="006F108F"/>
    <w:rsid w:val="006F298B"/>
    <w:rsid w:val="006F2CDF"/>
    <w:rsid w:val="006F72CB"/>
    <w:rsid w:val="006F7480"/>
    <w:rsid w:val="0070003C"/>
    <w:rsid w:val="00702293"/>
    <w:rsid w:val="00703DB1"/>
    <w:rsid w:val="00705077"/>
    <w:rsid w:val="00705523"/>
    <w:rsid w:val="007065DB"/>
    <w:rsid w:val="0070678D"/>
    <w:rsid w:val="00706B66"/>
    <w:rsid w:val="007075B1"/>
    <w:rsid w:val="00707E49"/>
    <w:rsid w:val="00710AF0"/>
    <w:rsid w:val="007119FC"/>
    <w:rsid w:val="00711BE5"/>
    <w:rsid w:val="0071302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4002C"/>
    <w:rsid w:val="007409C8"/>
    <w:rsid w:val="00741425"/>
    <w:rsid w:val="00741C03"/>
    <w:rsid w:val="007421B2"/>
    <w:rsid w:val="00742BF6"/>
    <w:rsid w:val="00743674"/>
    <w:rsid w:val="00745D78"/>
    <w:rsid w:val="0074620D"/>
    <w:rsid w:val="00750820"/>
    <w:rsid w:val="00750949"/>
    <w:rsid w:val="007515FC"/>
    <w:rsid w:val="00751ECA"/>
    <w:rsid w:val="00753622"/>
    <w:rsid w:val="0075461B"/>
    <w:rsid w:val="00756033"/>
    <w:rsid w:val="0075613A"/>
    <w:rsid w:val="0075711F"/>
    <w:rsid w:val="007577A6"/>
    <w:rsid w:val="00760095"/>
    <w:rsid w:val="007608F9"/>
    <w:rsid w:val="007622F5"/>
    <w:rsid w:val="0076274E"/>
    <w:rsid w:val="007649D5"/>
    <w:rsid w:val="00765A0B"/>
    <w:rsid w:val="00765F08"/>
    <w:rsid w:val="00766C48"/>
    <w:rsid w:val="00767088"/>
    <w:rsid w:val="0077029E"/>
    <w:rsid w:val="00771324"/>
    <w:rsid w:val="007740D2"/>
    <w:rsid w:val="00775ACC"/>
    <w:rsid w:val="007766CD"/>
    <w:rsid w:val="0077704F"/>
    <w:rsid w:val="00781029"/>
    <w:rsid w:val="00781AAF"/>
    <w:rsid w:val="00781B92"/>
    <w:rsid w:val="007839BB"/>
    <w:rsid w:val="00783A9D"/>
    <w:rsid w:val="00783EE7"/>
    <w:rsid w:val="0078444D"/>
    <w:rsid w:val="00784759"/>
    <w:rsid w:val="00784BA7"/>
    <w:rsid w:val="00786C26"/>
    <w:rsid w:val="00787674"/>
    <w:rsid w:val="00787756"/>
    <w:rsid w:val="00790647"/>
    <w:rsid w:val="00791C0F"/>
    <w:rsid w:val="007922C4"/>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4865"/>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4FE0"/>
    <w:rsid w:val="007C534C"/>
    <w:rsid w:val="007C53FE"/>
    <w:rsid w:val="007C592A"/>
    <w:rsid w:val="007C6427"/>
    <w:rsid w:val="007C6977"/>
    <w:rsid w:val="007C7143"/>
    <w:rsid w:val="007C7363"/>
    <w:rsid w:val="007C7CBA"/>
    <w:rsid w:val="007D1985"/>
    <w:rsid w:val="007D1FBF"/>
    <w:rsid w:val="007D229F"/>
    <w:rsid w:val="007D2A11"/>
    <w:rsid w:val="007D3719"/>
    <w:rsid w:val="007D3E21"/>
    <w:rsid w:val="007D4511"/>
    <w:rsid w:val="007D6118"/>
    <w:rsid w:val="007D6839"/>
    <w:rsid w:val="007D6A07"/>
    <w:rsid w:val="007D7103"/>
    <w:rsid w:val="007D74E2"/>
    <w:rsid w:val="007E0D3B"/>
    <w:rsid w:val="007E1048"/>
    <w:rsid w:val="007E12F1"/>
    <w:rsid w:val="007E2365"/>
    <w:rsid w:val="007E293A"/>
    <w:rsid w:val="007E313B"/>
    <w:rsid w:val="007E3F84"/>
    <w:rsid w:val="007E4B30"/>
    <w:rsid w:val="007E5E44"/>
    <w:rsid w:val="007E64EC"/>
    <w:rsid w:val="007E66C2"/>
    <w:rsid w:val="007F086E"/>
    <w:rsid w:val="007F12B1"/>
    <w:rsid w:val="007F13BF"/>
    <w:rsid w:val="007F14F4"/>
    <w:rsid w:val="007F1BC1"/>
    <w:rsid w:val="007F1D34"/>
    <w:rsid w:val="007F3BA0"/>
    <w:rsid w:val="007F3C39"/>
    <w:rsid w:val="007F41DC"/>
    <w:rsid w:val="007F7D6A"/>
    <w:rsid w:val="007F7EBF"/>
    <w:rsid w:val="00800157"/>
    <w:rsid w:val="0080041B"/>
    <w:rsid w:val="008021C0"/>
    <w:rsid w:val="0080279C"/>
    <w:rsid w:val="00803767"/>
    <w:rsid w:val="008042EC"/>
    <w:rsid w:val="00804680"/>
    <w:rsid w:val="00805120"/>
    <w:rsid w:val="00805C69"/>
    <w:rsid w:val="00806504"/>
    <w:rsid w:val="008071BE"/>
    <w:rsid w:val="00807B99"/>
    <w:rsid w:val="00810031"/>
    <w:rsid w:val="008101C9"/>
    <w:rsid w:val="00811EC6"/>
    <w:rsid w:val="00813D6A"/>
    <w:rsid w:val="00813E00"/>
    <w:rsid w:val="00814683"/>
    <w:rsid w:val="00814BD5"/>
    <w:rsid w:val="00815868"/>
    <w:rsid w:val="00816F8E"/>
    <w:rsid w:val="00820C00"/>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E62"/>
    <w:rsid w:val="008430F3"/>
    <w:rsid w:val="0084368B"/>
    <w:rsid w:val="00843DE4"/>
    <w:rsid w:val="00844353"/>
    <w:rsid w:val="00845171"/>
    <w:rsid w:val="008471BC"/>
    <w:rsid w:val="00850929"/>
    <w:rsid w:val="00850994"/>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32C0"/>
    <w:rsid w:val="0088373C"/>
    <w:rsid w:val="00883960"/>
    <w:rsid w:val="00884B03"/>
    <w:rsid w:val="00884B22"/>
    <w:rsid w:val="00885027"/>
    <w:rsid w:val="008866C3"/>
    <w:rsid w:val="0088766D"/>
    <w:rsid w:val="00887CEB"/>
    <w:rsid w:val="0089067E"/>
    <w:rsid w:val="0089084A"/>
    <w:rsid w:val="00890ED6"/>
    <w:rsid w:val="00892D8B"/>
    <w:rsid w:val="008933F4"/>
    <w:rsid w:val="00894AA3"/>
    <w:rsid w:val="00895721"/>
    <w:rsid w:val="0089591A"/>
    <w:rsid w:val="00895E1E"/>
    <w:rsid w:val="00897448"/>
    <w:rsid w:val="008A05B8"/>
    <w:rsid w:val="008A08EA"/>
    <w:rsid w:val="008A24C7"/>
    <w:rsid w:val="008A27A5"/>
    <w:rsid w:val="008A2876"/>
    <w:rsid w:val="008A3280"/>
    <w:rsid w:val="008A3DB4"/>
    <w:rsid w:val="008A5A2F"/>
    <w:rsid w:val="008A698F"/>
    <w:rsid w:val="008A7E8E"/>
    <w:rsid w:val="008B12BF"/>
    <w:rsid w:val="008B1F8F"/>
    <w:rsid w:val="008B2D1B"/>
    <w:rsid w:val="008B3222"/>
    <w:rsid w:val="008B45BB"/>
    <w:rsid w:val="008B4FBF"/>
    <w:rsid w:val="008B5B4B"/>
    <w:rsid w:val="008B64ED"/>
    <w:rsid w:val="008B66D4"/>
    <w:rsid w:val="008B74D5"/>
    <w:rsid w:val="008B7542"/>
    <w:rsid w:val="008C16B1"/>
    <w:rsid w:val="008C1F54"/>
    <w:rsid w:val="008C3008"/>
    <w:rsid w:val="008C3624"/>
    <w:rsid w:val="008C4224"/>
    <w:rsid w:val="008C4876"/>
    <w:rsid w:val="008C49E5"/>
    <w:rsid w:val="008C4E21"/>
    <w:rsid w:val="008C52BD"/>
    <w:rsid w:val="008C604E"/>
    <w:rsid w:val="008D090D"/>
    <w:rsid w:val="008D1114"/>
    <w:rsid w:val="008D189E"/>
    <w:rsid w:val="008D2451"/>
    <w:rsid w:val="008D28B9"/>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96D"/>
    <w:rsid w:val="008E477C"/>
    <w:rsid w:val="008E55D7"/>
    <w:rsid w:val="008E67E4"/>
    <w:rsid w:val="008E722D"/>
    <w:rsid w:val="008F0466"/>
    <w:rsid w:val="008F0DF3"/>
    <w:rsid w:val="008F187D"/>
    <w:rsid w:val="008F3877"/>
    <w:rsid w:val="008F4223"/>
    <w:rsid w:val="008F43C6"/>
    <w:rsid w:val="008F5322"/>
    <w:rsid w:val="008F5558"/>
    <w:rsid w:val="008F64CF"/>
    <w:rsid w:val="008F686C"/>
    <w:rsid w:val="008F6F70"/>
    <w:rsid w:val="008F75A8"/>
    <w:rsid w:val="009004DF"/>
    <w:rsid w:val="00900877"/>
    <w:rsid w:val="009008B0"/>
    <w:rsid w:val="00901AA5"/>
    <w:rsid w:val="009022F9"/>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211C"/>
    <w:rsid w:val="00924747"/>
    <w:rsid w:val="00924B25"/>
    <w:rsid w:val="009253FF"/>
    <w:rsid w:val="009305E9"/>
    <w:rsid w:val="009313D0"/>
    <w:rsid w:val="009313FD"/>
    <w:rsid w:val="00931509"/>
    <w:rsid w:val="00933091"/>
    <w:rsid w:val="00933E40"/>
    <w:rsid w:val="00934C87"/>
    <w:rsid w:val="009364A6"/>
    <w:rsid w:val="00937253"/>
    <w:rsid w:val="0094120A"/>
    <w:rsid w:val="00941428"/>
    <w:rsid w:val="00941D27"/>
    <w:rsid w:val="00941EB7"/>
    <w:rsid w:val="00943A3B"/>
    <w:rsid w:val="00943E29"/>
    <w:rsid w:val="00944915"/>
    <w:rsid w:val="00945015"/>
    <w:rsid w:val="00946650"/>
    <w:rsid w:val="00946F6D"/>
    <w:rsid w:val="00946FF3"/>
    <w:rsid w:val="009552BD"/>
    <w:rsid w:val="00955380"/>
    <w:rsid w:val="00955696"/>
    <w:rsid w:val="0095602D"/>
    <w:rsid w:val="0095621F"/>
    <w:rsid w:val="00957B6F"/>
    <w:rsid w:val="00957CB7"/>
    <w:rsid w:val="00957CD3"/>
    <w:rsid w:val="00960000"/>
    <w:rsid w:val="00961AE7"/>
    <w:rsid w:val="009639D8"/>
    <w:rsid w:val="00963AFD"/>
    <w:rsid w:val="0096412E"/>
    <w:rsid w:val="00965221"/>
    <w:rsid w:val="0096581A"/>
    <w:rsid w:val="00965C04"/>
    <w:rsid w:val="00966C79"/>
    <w:rsid w:val="00967AC9"/>
    <w:rsid w:val="00971F40"/>
    <w:rsid w:val="009729E8"/>
    <w:rsid w:val="00972E3C"/>
    <w:rsid w:val="00973412"/>
    <w:rsid w:val="00973BDA"/>
    <w:rsid w:val="009742E9"/>
    <w:rsid w:val="00974BCE"/>
    <w:rsid w:val="00975E33"/>
    <w:rsid w:val="00977282"/>
    <w:rsid w:val="009777D9"/>
    <w:rsid w:val="00977AA1"/>
    <w:rsid w:val="00977F7C"/>
    <w:rsid w:val="0098038B"/>
    <w:rsid w:val="0098040A"/>
    <w:rsid w:val="00981460"/>
    <w:rsid w:val="00981877"/>
    <w:rsid w:val="00982345"/>
    <w:rsid w:val="009827B6"/>
    <w:rsid w:val="00983234"/>
    <w:rsid w:val="00983C79"/>
    <w:rsid w:val="00986859"/>
    <w:rsid w:val="0098749A"/>
    <w:rsid w:val="00987BCA"/>
    <w:rsid w:val="009908B4"/>
    <w:rsid w:val="00991B88"/>
    <w:rsid w:val="00992F4A"/>
    <w:rsid w:val="009936E6"/>
    <w:rsid w:val="00993C90"/>
    <w:rsid w:val="00993F1B"/>
    <w:rsid w:val="0099441F"/>
    <w:rsid w:val="0099449B"/>
    <w:rsid w:val="009958A2"/>
    <w:rsid w:val="00996FAA"/>
    <w:rsid w:val="00997D49"/>
    <w:rsid w:val="009A0026"/>
    <w:rsid w:val="009A05BC"/>
    <w:rsid w:val="009A102E"/>
    <w:rsid w:val="009A172A"/>
    <w:rsid w:val="009A1B0F"/>
    <w:rsid w:val="009A30D1"/>
    <w:rsid w:val="009A32B0"/>
    <w:rsid w:val="009A6AD5"/>
    <w:rsid w:val="009A7265"/>
    <w:rsid w:val="009A7BDB"/>
    <w:rsid w:val="009A7CCE"/>
    <w:rsid w:val="009B1DD0"/>
    <w:rsid w:val="009B29B4"/>
    <w:rsid w:val="009B2A45"/>
    <w:rsid w:val="009B3D08"/>
    <w:rsid w:val="009B4044"/>
    <w:rsid w:val="009B4B03"/>
    <w:rsid w:val="009B4D0A"/>
    <w:rsid w:val="009B6ECF"/>
    <w:rsid w:val="009C0630"/>
    <w:rsid w:val="009C106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FE4"/>
    <w:rsid w:val="009E2AE1"/>
    <w:rsid w:val="009E3297"/>
    <w:rsid w:val="009E33A6"/>
    <w:rsid w:val="009E3CDD"/>
    <w:rsid w:val="009F09A7"/>
    <w:rsid w:val="009F22C4"/>
    <w:rsid w:val="009F2EA4"/>
    <w:rsid w:val="009F701B"/>
    <w:rsid w:val="00A005AA"/>
    <w:rsid w:val="00A00A37"/>
    <w:rsid w:val="00A01DBE"/>
    <w:rsid w:val="00A01FBD"/>
    <w:rsid w:val="00A024CC"/>
    <w:rsid w:val="00A04298"/>
    <w:rsid w:val="00A0504A"/>
    <w:rsid w:val="00A051DE"/>
    <w:rsid w:val="00A05A51"/>
    <w:rsid w:val="00A0669C"/>
    <w:rsid w:val="00A07159"/>
    <w:rsid w:val="00A106B6"/>
    <w:rsid w:val="00A10F52"/>
    <w:rsid w:val="00A1117B"/>
    <w:rsid w:val="00A115D5"/>
    <w:rsid w:val="00A123E9"/>
    <w:rsid w:val="00A12960"/>
    <w:rsid w:val="00A1334B"/>
    <w:rsid w:val="00A13777"/>
    <w:rsid w:val="00A14F55"/>
    <w:rsid w:val="00A15196"/>
    <w:rsid w:val="00A1587B"/>
    <w:rsid w:val="00A1661A"/>
    <w:rsid w:val="00A17520"/>
    <w:rsid w:val="00A20258"/>
    <w:rsid w:val="00A207F9"/>
    <w:rsid w:val="00A20AF7"/>
    <w:rsid w:val="00A20CCD"/>
    <w:rsid w:val="00A20EDF"/>
    <w:rsid w:val="00A21903"/>
    <w:rsid w:val="00A23AAB"/>
    <w:rsid w:val="00A25053"/>
    <w:rsid w:val="00A2514E"/>
    <w:rsid w:val="00A256C8"/>
    <w:rsid w:val="00A2580B"/>
    <w:rsid w:val="00A27B4C"/>
    <w:rsid w:val="00A27E0E"/>
    <w:rsid w:val="00A27FF8"/>
    <w:rsid w:val="00A3075D"/>
    <w:rsid w:val="00A31C23"/>
    <w:rsid w:val="00A31F3F"/>
    <w:rsid w:val="00A34B0F"/>
    <w:rsid w:val="00A36356"/>
    <w:rsid w:val="00A36690"/>
    <w:rsid w:val="00A37A83"/>
    <w:rsid w:val="00A40BA1"/>
    <w:rsid w:val="00A40DA0"/>
    <w:rsid w:val="00A41C32"/>
    <w:rsid w:val="00A458A9"/>
    <w:rsid w:val="00A47B29"/>
    <w:rsid w:val="00A47E70"/>
    <w:rsid w:val="00A505FA"/>
    <w:rsid w:val="00A50CFB"/>
    <w:rsid w:val="00A51A11"/>
    <w:rsid w:val="00A53EF7"/>
    <w:rsid w:val="00A540C6"/>
    <w:rsid w:val="00A54BED"/>
    <w:rsid w:val="00A55B59"/>
    <w:rsid w:val="00A5639D"/>
    <w:rsid w:val="00A6194C"/>
    <w:rsid w:val="00A62C58"/>
    <w:rsid w:val="00A62DF6"/>
    <w:rsid w:val="00A63E45"/>
    <w:rsid w:val="00A6530D"/>
    <w:rsid w:val="00A65522"/>
    <w:rsid w:val="00A65C34"/>
    <w:rsid w:val="00A675CB"/>
    <w:rsid w:val="00A67C1C"/>
    <w:rsid w:val="00A7006D"/>
    <w:rsid w:val="00A71E38"/>
    <w:rsid w:val="00A722B8"/>
    <w:rsid w:val="00A731D9"/>
    <w:rsid w:val="00A75132"/>
    <w:rsid w:val="00A77684"/>
    <w:rsid w:val="00A8005D"/>
    <w:rsid w:val="00A801A4"/>
    <w:rsid w:val="00A8136A"/>
    <w:rsid w:val="00A81A24"/>
    <w:rsid w:val="00A84041"/>
    <w:rsid w:val="00A84A2A"/>
    <w:rsid w:val="00A877CF"/>
    <w:rsid w:val="00A90726"/>
    <w:rsid w:val="00A9073E"/>
    <w:rsid w:val="00A90A2A"/>
    <w:rsid w:val="00A92401"/>
    <w:rsid w:val="00A936CB"/>
    <w:rsid w:val="00A93A24"/>
    <w:rsid w:val="00A95728"/>
    <w:rsid w:val="00A963A4"/>
    <w:rsid w:val="00A9641D"/>
    <w:rsid w:val="00A96F4B"/>
    <w:rsid w:val="00A97F47"/>
    <w:rsid w:val="00AA0425"/>
    <w:rsid w:val="00AA0722"/>
    <w:rsid w:val="00AA1373"/>
    <w:rsid w:val="00AA2718"/>
    <w:rsid w:val="00AA2C51"/>
    <w:rsid w:val="00AA35EF"/>
    <w:rsid w:val="00AA56D1"/>
    <w:rsid w:val="00AA7016"/>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3FD"/>
    <w:rsid w:val="00AC4452"/>
    <w:rsid w:val="00AC49B0"/>
    <w:rsid w:val="00AC5F48"/>
    <w:rsid w:val="00AC7EFD"/>
    <w:rsid w:val="00AD0208"/>
    <w:rsid w:val="00AD2E7A"/>
    <w:rsid w:val="00AD30A8"/>
    <w:rsid w:val="00AD3318"/>
    <w:rsid w:val="00AD33BA"/>
    <w:rsid w:val="00AD39D6"/>
    <w:rsid w:val="00AD5311"/>
    <w:rsid w:val="00AD575A"/>
    <w:rsid w:val="00AD66E5"/>
    <w:rsid w:val="00AD6A49"/>
    <w:rsid w:val="00AD770C"/>
    <w:rsid w:val="00AE0ABA"/>
    <w:rsid w:val="00AE1FFD"/>
    <w:rsid w:val="00AE43E2"/>
    <w:rsid w:val="00AE4BB5"/>
    <w:rsid w:val="00AE4C6E"/>
    <w:rsid w:val="00AE4CE9"/>
    <w:rsid w:val="00AE4F4F"/>
    <w:rsid w:val="00AE6388"/>
    <w:rsid w:val="00AE72DE"/>
    <w:rsid w:val="00AF07DE"/>
    <w:rsid w:val="00AF135B"/>
    <w:rsid w:val="00AF1FAF"/>
    <w:rsid w:val="00AF4E16"/>
    <w:rsid w:val="00AF4FEA"/>
    <w:rsid w:val="00AF564E"/>
    <w:rsid w:val="00AF5E54"/>
    <w:rsid w:val="00AF6A14"/>
    <w:rsid w:val="00B01093"/>
    <w:rsid w:val="00B019A1"/>
    <w:rsid w:val="00B01FF6"/>
    <w:rsid w:val="00B03B48"/>
    <w:rsid w:val="00B03F36"/>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75E"/>
    <w:rsid w:val="00B21BAA"/>
    <w:rsid w:val="00B2389C"/>
    <w:rsid w:val="00B23BE2"/>
    <w:rsid w:val="00B23EDD"/>
    <w:rsid w:val="00B23EEB"/>
    <w:rsid w:val="00B244E4"/>
    <w:rsid w:val="00B24E6A"/>
    <w:rsid w:val="00B258BB"/>
    <w:rsid w:val="00B26521"/>
    <w:rsid w:val="00B26F92"/>
    <w:rsid w:val="00B279C1"/>
    <w:rsid w:val="00B30222"/>
    <w:rsid w:val="00B30787"/>
    <w:rsid w:val="00B30E1E"/>
    <w:rsid w:val="00B32438"/>
    <w:rsid w:val="00B32FFD"/>
    <w:rsid w:val="00B336EB"/>
    <w:rsid w:val="00B33ADA"/>
    <w:rsid w:val="00B33EFD"/>
    <w:rsid w:val="00B342DA"/>
    <w:rsid w:val="00B36C7C"/>
    <w:rsid w:val="00B40474"/>
    <w:rsid w:val="00B40C58"/>
    <w:rsid w:val="00B43B2A"/>
    <w:rsid w:val="00B43CE5"/>
    <w:rsid w:val="00B44EA5"/>
    <w:rsid w:val="00B455AD"/>
    <w:rsid w:val="00B456D9"/>
    <w:rsid w:val="00B45A40"/>
    <w:rsid w:val="00B45B5D"/>
    <w:rsid w:val="00B4690B"/>
    <w:rsid w:val="00B46AF7"/>
    <w:rsid w:val="00B50040"/>
    <w:rsid w:val="00B51155"/>
    <w:rsid w:val="00B517BF"/>
    <w:rsid w:val="00B517E9"/>
    <w:rsid w:val="00B51D38"/>
    <w:rsid w:val="00B52BE4"/>
    <w:rsid w:val="00B531C1"/>
    <w:rsid w:val="00B542B2"/>
    <w:rsid w:val="00B54573"/>
    <w:rsid w:val="00B54894"/>
    <w:rsid w:val="00B55238"/>
    <w:rsid w:val="00B568DE"/>
    <w:rsid w:val="00B575FD"/>
    <w:rsid w:val="00B60630"/>
    <w:rsid w:val="00B611CD"/>
    <w:rsid w:val="00B61654"/>
    <w:rsid w:val="00B62725"/>
    <w:rsid w:val="00B63156"/>
    <w:rsid w:val="00B63655"/>
    <w:rsid w:val="00B640A0"/>
    <w:rsid w:val="00B64799"/>
    <w:rsid w:val="00B64995"/>
    <w:rsid w:val="00B702B5"/>
    <w:rsid w:val="00B720A7"/>
    <w:rsid w:val="00B73271"/>
    <w:rsid w:val="00B7336C"/>
    <w:rsid w:val="00B7554E"/>
    <w:rsid w:val="00B75C5E"/>
    <w:rsid w:val="00B76647"/>
    <w:rsid w:val="00B769AB"/>
    <w:rsid w:val="00B77285"/>
    <w:rsid w:val="00B772FE"/>
    <w:rsid w:val="00B77827"/>
    <w:rsid w:val="00B8042E"/>
    <w:rsid w:val="00B81D26"/>
    <w:rsid w:val="00B82348"/>
    <w:rsid w:val="00B848FF"/>
    <w:rsid w:val="00B85082"/>
    <w:rsid w:val="00B86AFA"/>
    <w:rsid w:val="00B902E7"/>
    <w:rsid w:val="00B90900"/>
    <w:rsid w:val="00B90A51"/>
    <w:rsid w:val="00B913AA"/>
    <w:rsid w:val="00B92E54"/>
    <w:rsid w:val="00B93513"/>
    <w:rsid w:val="00B93BE4"/>
    <w:rsid w:val="00B94DDE"/>
    <w:rsid w:val="00B97DCB"/>
    <w:rsid w:val="00BA0956"/>
    <w:rsid w:val="00BA1229"/>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5BAB"/>
    <w:rsid w:val="00BB5DFC"/>
    <w:rsid w:val="00BB64E5"/>
    <w:rsid w:val="00BB67A9"/>
    <w:rsid w:val="00BB7663"/>
    <w:rsid w:val="00BB7DB0"/>
    <w:rsid w:val="00BC1AC4"/>
    <w:rsid w:val="00BC4A2A"/>
    <w:rsid w:val="00BC4C67"/>
    <w:rsid w:val="00BC519C"/>
    <w:rsid w:val="00BC5F9D"/>
    <w:rsid w:val="00BC6DC0"/>
    <w:rsid w:val="00BC6E27"/>
    <w:rsid w:val="00BC700C"/>
    <w:rsid w:val="00BC7775"/>
    <w:rsid w:val="00BC792D"/>
    <w:rsid w:val="00BD02CF"/>
    <w:rsid w:val="00BD03E1"/>
    <w:rsid w:val="00BD1574"/>
    <w:rsid w:val="00BD200E"/>
    <w:rsid w:val="00BD2617"/>
    <w:rsid w:val="00BD279D"/>
    <w:rsid w:val="00BD2C7B"/>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E7200"/>
    <w:rsid w:val="00BE76A2"/>
    <w:rsid w:val="00BE7A63"/>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05E1B"/>
    <w:rsid w:val="00C1017A"/>
    <w:rsid w:val="00C13FA5"/>
    <w:rsid w:val="00C1511D"/>
    <w:rsid w:val="00C151BB"/>
    <w:rsid w:val="00C15240"/>
    <w:rsid w:val="00C156B3"/>
    <w:rsid w:val="00C15CFB"/>
    <w:rsid w:val="00C16E18"/>
    <w:rsid w:val="00C201A5"/>
    <w:rsid w:val="00C2068A"/>
    <w:rsid w:val="00C215F4"/>
    <w:rsid w:val="00C21DEF"/>
    <w:rsid w:val="00C23190"/>
    <w:rsid w:val="00C237E6"/>
    <w:rsid w:val="00C2428F"/>
    <w:rsid w:val="00C24F55"/>
    <w:rsid w:val="00C251A0"/>
    <w:rsid w:val="00C2680C"/>
    <w:rsid w:val="00C3077F"/>
    <w:rsid w:val="00C312A8"/>
    <w:rsid w:val="00C31C0F"/>
    <w:rsid w:val="00C31EC5"/>
    <w:rsid w:val="00C32002"/>
    <w:rsid w:val="00C32836"/>
    <w:rsid w:val="00C32993"/>
    <w:rsid w:val="00C32C62"/>
    <w:rsid w:val="00C32CBD"/>
    <w:rsid w:val="00C32DBB"/>
    <w:rsid w:val="00C33A5E"/>
    <w:rsid w:val="00C3438B"/>
    <w:rsid w:val="00C35BED"/>
    <w:rsid w:val="00C35F4A"/>
    <w:rsid w:val="00C35F5A"/>
    <w:rsid w:val="00C36C75"/>
    <w:rsid w:val="00C37E2F"/>
    <w:rsid w:val="00C400A2"/>
    <w:rsid w:val="00C40B06"/>
    <w:rsid w:val="00C40D00"/>
    <w:rsid w:val="00C41E47"/>
    <w:rsid w:val="00C420A0"/>
    <w:rsid w:val="00C422DB"/>
    <w:rsid w:val="00C42F96"/>
    <w:rsid w:val="00C46070"/>
    <w:rsid w:val="00C465A1"/>
    <w:rsid w:val="00C47180"/>
    <w:rsid w:val="00C476E7"/>
    <w:rsid w:val="00C510C3"/>
    <w:rsid w:val="00C51C46"/>
    <w:rsid w:val="00C51DD1"/>
    <w:rsid w:val="00C51F11"/>
    <w:rsid w:val="00C52358"/>
    <w:rsid w:val="00C52F22"/>
    <w:rsid w:val="00C53B3F"/>
    <w:rsid w:val="00C53F2D"/>
    <w:rsid w:val="00C5492B"/>
    <w:rsid w:val="00C5545F"/>
    <w:rsid w:val="00C56527"/>
    <w:rsid w:val="00C57D14"/>
    <w:rsid w:val="00C606A4"/>
    <w:rsid w:val="00C607C3"/>
    <w:rsid w:val="00C61501"/>
    <w:rsid w:val="00C61A48"/>
    <w:rsid w:val="00C62410"/>
    <w:rsid w:val="00C62881"/>
    <w:rsid w:val="00C62954"/>
    <w:rsid w:val="00C63D22"/>
    <w:rsid w:val="00C63E75"/>
    <w:rsid w:val="00C67024"/>
    <w:rsid w:val="00C6799C"/>
    <w:rsid w:val="00C7071C"/>
    <w:rsid w:val="00C707DC"/>
    <w:rsid w:val="00C70F3A"/>
    <w:rsid w:val="00C72DF3"/>
    <w:rsid w:val="00C73C9E"/>
    <w:rsid w:val="00C7490C"/>
    <w:rsid w:val="00C74B95"/>
    <w:rsid w:val="00C74D52"/>
    <w:rsid w:val="00C75BBE"/>
    <w:rsid w:val="00C76352"/>
    <w:rsid w:val="00C76676"/>
    <w:rsid w:val="00C77464"/>
    <w:rsid w:val="00C80496"/>
    <w:rsid w:val="00C807E7"/>
    <w:rsid w:val="00C813D9"/>
    <w:rsid w:val="00C82F81"/>
    <w:rsid w:val="00C85F05"/>
    <w:rsid w:val="00C867CF"/>
    <w:rsid w:val="00C86B9A"/>
    <w:rsid w:val="00C8796E"/>
    <w:rsid w:val="00C91825"/>
    <w:rsid w:val="00C93769"/>
    <w:rsid w:val="00C93A3D"/>
    <w:rsid w:val="00C93EDB"/>
    <w:rsid w:val="00C941E8"/>
    <w:rsid w:val="00C95985"/>
    <w:rsid w:val="00C95D6E"/>
    <w:rsid w:val="00C964CD"/>
    <w:rsid w:val="00C96643"/>
    <w:rsid w:val="00C971BF"/>
    <w:rsid w:val="00C9757A"/>
    <w:rsid w:val="00C97978"/>
    <w:rsid w:val="00C97996"/>
    <w:rsid w:val="00C97A46"/>
    <w:rsid w:val="00CA08D0"/>
    <w:rsid w:val="00CA1AB9"/>
    <w:rsid w:val="00CA1E1A"/>
    <w:rsid w:val="00CA236B"/>
    <w:rsid w:val="00CA2EA4"/>
    <w:rsid w:val="00CA36CF"/>
    <w:rsid w:val="00CA4383"/>
    <w:rsid w:val="00CA47C2"/>
    <w:rsid w:val="00CB0416"/>
    <w:rsid w:val="00CB0877"/>
    <w:rsid w:val="00CB1943"/>
    <w:rsid w:val="00CB21AA"/>
    <w:rsid w:val="00CB25EF"/>
    <w:rsid w:val="00CB356B"/>
    <w:rsid w:val="00CB36C6"/>
    <w:rsid w:val="00CB66DF"/>
    <w:rsid w:val="00CB7FAE"/>
    <w:rsid w:val="00CC1549"/>
    <w:rsid w:val="00CC3A2D"/>
    <w:rsid w:val="00CC41CE"/>
    <w:rsid w:val="00CC422A"/>
    <w:rsid w:val="00CC49E7"/>
    <w:rsid w:val="00CC5026"/>
    <w:rsid w:val="00CC729F"/>
    <w:rsid w:val="00CC7C84"/>
    <w:rsid w:val="00CD11C0"/>
    <w:rsid w:val="00CD1510"/>
    <w:rsid w:val="00CD1E45"/>
    <w:rsid w:val="00CD2658"/>
    <w:rsid w:val="00CD54BF"/>
    <w:rsid w:val="00CD7B28"/>
    <w:rsid w:val="00CE0305"/>
    <w:rsid w:val="00CE43D6"/>
    <w:rsid w:val="00CE4F9C"/>
    <w:rsid w:val="00CE51F1"/>
    <w:rsid w:val="00CE561D"/>
    <w:rsid w:val="00CE5A3A"/>
    <w:rsid w:val="00CE5E7B"/>
    <w:rsid w:val="00CE6487"/>
    <w:rsid w:val="00CE659A"/>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6867"/>
    <w:rsid w:val="00D077F9"/>
    <w:rsid w:val="00D07E7A"/>
    <w:rsid w:val="00D114E0"/>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279A1"/>
    <w:rsid w:val="00D30410"/>
    <w:rsid w:val="00D31362"/>
    <w:rsid w:val="00D334E5"/>
    <w:rsid w:val="00D366A2"/>
    <w:rsid w:val="00D368AF"/>
    <w:rsid w:val="00D36D3B"/>
    <w:rsid w:val="00D37DEE"/>
    <w:rsid w:val="00D401AF"/>
    <w:rsid w:val="00D403D8"/>
    <w:rsid w:val="00D4051A"/>
    <w:rsid w:val="00D4096D"/>
    <w:rsid w:val="00D4098D"/>
    <w:rsid w:val="00D40E63"/>
    <w:rsid w:val="00D41284"/>
    <w:rsid w:val="00D427CE"/>
    <w:rsid w:val="00D449E8"/>
    <w:rsid w:val="00D44B6C"/>
    <w:rsid w:val="00D45992"/>
    <w:rsid w:val="00D45DFC"/>
    <w:rsid w:val="00D467E9"/>
    <w:rsid w:val="00D47213"/>
    <w:rsid w:val="00D47E86"/>
    <w:rsid w:val="00D50252"/>
    <w:rsid w:val="00D50345"/>
    <w:rsid w:val="00D51C09"/>
    <w:rsid w:val="00D5284F"/>
    <w:rsid w:val="00D52F08"/>
    <w:rsid w:val="00D53447"/>
    <w:rsid w:val="00D53D21"/>
    <w:rsid w:val="00D54983"/>
    <w:rsid w:val="00D55576"/>
    <w:rsid w:val="00D556C5"/>
    <w:rsid w:val="00D55863"/>
    <w:rsid w:val="00D575AA"/>
    <w:rsid w:val="00D57770"/>
    <w:rsid w:val="00D57B9B"/>
    <w:rsid w:val="00D61FFE"/>
    <w:rsid w:val="00D62611"/>
    <w:rsid w:val="00D62AE6"/>
    <w:rsid w:val="00D62EBA"/>
    <w:rsid w:val="00D63E76"/>
    <w:rsid w:val="00D6404E"/>
    <w:rsid w:val="00D65ABD"/>
    <w:rsid w:val="00D67049"/>
    <w:rsid w:val="00D67096"/>
    <w:rsid w:val="00D67267"/>
    <w:rsid w:val="00D67829"/>
    <w:rsid w:val="00D6792A"/>
    <w:rsid w:val="00D67992"/>
    <w:rsid w:val="00D67F32"/>
    <w:rsid w:val="00D7053B"/>
    <w:rsid w:val="00D71477"/>
    <w:rsid w:val="00D714F5"/>
    <w:rsid w:val="00D73503"/>
    <w:rsid w:val="00D740E0"/>
    <w:rsid w:val="00D74285"/>
    <w:rsid w:val="00D749F0"/>
    <w:rsid w:val="00D76C85"/>
    <w:rsid w:val="00D77F6A"/>
    <w:rsid w:val="00D8019D"/>
    <w:rsid w:val="00D80638"/>
    <w:rsid w:val="00D80F15"/>
    <w:rsid w:val="00D815C7"/>
    <w:rsid w:val="00D84063"/>
    <w:rsid w:val="00D845F3"/>
    <w:rsid w:val="00D87131"/>
    <w:rsid w:val="00D8737F"/>
    <w:rsid w:val="00D875C5"/>
    <w:rsid w:val="00D90289"/>
    <w:rsid w:val="00D9216F"/>
    <w:rsid w:val="00D921CC"/>
    <w:rsid w:val="00D925AC"/>
    <w:rsid w:val="00D92700"/>
    <w:rsid w:val="00D929BD"/>
    <w:rsid w:val="00D939A6"/>
    <w:rsid w:val="00D945A7"/>
    <w:rsid w:val="00D947DD"/>
    <w:rsid w:val="00D95894"/>
    <w:rsid w:val="00D96BF4"/>
    <w:rsid w:val="00D9722C"/>
    <w:rsid w:val="00D978D3"/>
    <w:rsid w:val="00D97C03"/>
    <w:rsid w:val="00D97EAE"/>
    <w:rsid w:val="00DA0F41"/>
    <w:rsid w:val="00DA17AE"/>
    <w:rsid w:val="00DA1E43"/>
    <w:rsid w:val="00DA243B"/>
    <w:rsid w:val="00DA2483"/>
    <w:rsid w:val="00DA3044"/>
    <w:rsid w:val="00DA3561"/>
    <w:rsid w:val="00DA39B0"/>
    <w:rsid w:val="00DA5488"/>
    <w:rsid w:val="00DA5B72"/>
    <w:rsid w:val="00DB101D"/>
    <w:rsid w:val="00DB1614"/>
    <w:rsid w:val="00DB1E5C"/>
    <w:rsid w:val="00DB2449"/>
    <w:rsid w:val="00DB27FC"/>
    <w:rsid w:val="00DB4104"/>
    <w:rsid w:val="00DB4ACD"/>
    <w:rsid w:val="00DB57F8"/>
    <w:rsid w:val="00DB5988"/>
    <w:rsid w:val="00DB65CC"/>
    <w:rsid w:val="00DB7113"/>
    <w:rsid w:val="00DB75CA"/>
    <w:rsid w:val="00DB7B76"/>
    <w:rsid w:val="00DC00A6"/>
    <w:rsid w:val="00DC1F20"/>
    <w:rsid w:val="00DC2A0B"/>
    <w:rsid w:val="00DC2AD5"/>
    <w:rsid w:val="00DC6780"/>
    <w:rsid w:val="00DD07AA"/>
    <w:rsid w:val="00DD0BC9"/>
    <w:rsid w:val="00DD34F6"/>
    <w:rsid w:val="00DD4947"/>
    <w:rsid w:val="00DD541C"/>
    <w:rsid w:val="00DD5FC2"/>
    <w:rsid w:val="00DD6FE3"/>
    <w:rsid w:val="00DE0794"/>
    <w:rsid w:val="00DE099B"/>
    <w:rsid w:val="00DE132E"/>
    <w:rsid w:val="00DE234B"/>
    <w:rsid w:val="00DE2F70"/>
    <w:rsid w:val="00DE3D29"/>
    <w:rsid w:val="00DE432F"/>
    <w:rsid w:val="00DE4D46"/>
    <w:rsid w:val="00DE5419"/>
    <w:rsid w:val="00DE5698"/>
    <w:rsid w:val="00DE5EA8"/>
    <w:rsid w:val="00DE6B96"/>
    <w:rsid w:val="00DF0241"/>
    <w:rsid w:val="00DF128A"/>
    <w:rsid w:val="00DF1704"/>
    <w:rsid w:val="00DF1AFC"/>
    <w:rsid w:val="00DF221B"/>
    <w:rsid w:val="00DF2306"/>
    <w:rsid w:val="00DF2DF8"/>
    <w:rsid w:val="00DF5466"/>
    <w:rsid w:val="00DF7125"/>
    <w:rsid w:val="00E015DC"/>
    <w:rsid w:val="00E017C8"/>
    <w:rsid w:val="00E01B83"/>
    <w:rsid w:val="00E02D29"/>
    <w:rsid w:val="00E032E7"/>
    <w:rsid w:val="00E034F1"/>
    <w:rsid w:val="00E035DD"/>
    <w:rsid w:val="00E0454C"/>
    <w:rsid w:val="00E047B2"/>
    <w:rsid w:val="00E06808"/>
    <w:rsid w:val="00E07AF5"/>
    <w:rsid w:val="00E1053F"/>
    <w:rsid w:val="00E1058D"/>
    <w:rsid w:val="00E1082E"/>
    <w:rsid w:val="00E116B2"/>
    <w:rsid w:val="00E121CF"/>
    <w:rsid w:val="00E1330F"/>
    <w:rsid w:val="00E13C4D"/>
    <w:rsid w:val="00E14CFF"/>
    <w:rsid w:val="00E15471"/>
    <w:rsid w:val="00E17A83"/>
    <w:rsid w:val="00E20139"/>
    <w:rsid w:val="00E2022E"/>
    <w:rsid w:val="00E20448"/>
    <w:rsid w:val="00E22A7F"/>
    <w:rsid w:val="00E22C82"/>
    <w:rsid w:val="00E23964"/>
    <w:rsid w:val="00E2475A"/>
    <w:rsid w:val="00E264CD"/>
    <w:rsid w:val="00E2694E"/>
    <w:rsid w:val="00E2742F"/>
    <w:rsid w:val="00E2776C"/>
    <w:rsid w:val="00E2794B"/>
    <w:rsid w:val="00E30ADA"/>
    <w:rsid w:val="00E30DCB"/>
    <w:rsid w:val="00E32003"/>
    <w:rsid w:val="00E3230A"/>
    <w:rsid w:val="00E33396"/>
    <w:rsid w:val="00E33898"/>
    <w:rsid w:val="00E34D0D"/>
    <w:rsid w:val="00E35601"/>
    <w:rsid w:val="00E41548"/>
    <w:rsid w:val="00E41EC3"/>
    <w:rsid w:val="00E42331"/>
    <w:rsid w:val="00E42827"/>
    <w:rsid w:val="00E43382"/>
    <w:rsid w:val="00E434DF"/>
    <w:rsid w:val="00E4364B"/>
    <w:rsid w:val="00E440A3"/>
    <w:rsid w:val="00E441BA"/>
    <w:rsid w:val="00E44291"/>
    <w:rsid w:val="00E4644B"/>
    <w:rsid w:val="00E46F92"/>
    <w:rsid w:val="00E47319"/>
    <w:rsid w:val="00E5024E"/>
    <w:rsid w:val="00E50B75"/>
    <w:rsid w:val="00E51287"/>
    <w:rsid w:val="00E53D1B"/>
    <w:rsid w:val="00E53F2A"/>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982"/>
    <w:rsid w:val="00E71C72"/>
    <w:rsid w:val="00E728CC"/>
    <w:rsid w:val="00E7450E"/>
    <w:rsid w:val="00E81E17"/>
    <w:rsid w:val="00E81EE9"/>
    <w:rsid w:val="00E82C18"/>
    <w:rsid w:val="00E82EBA"/>
    <w:rsid w:val="00E82F81"/>
    <w:rsid w:val="00E8612D"/>
    <w:rsid w:val="00E87526"/>
    <w:rsid w:val="00E879BA"/>
    <w:rsid w:val="00E9039C"/>
    <w:rsid w:val="00E90D4D"/>
    <w:rsid w:val="00E91619"/>
    <w:rsid w:val="00E95501"/>
    <w:rsid w:val="00E96CD1"/>
    <w:rsid w:val="00E96E05"/>
    <w:rsid w:val="00E9799C"/>
    <w:rsid w:val="00EA0DAE"/>
    <w:rsid w:val="00EA1399"/>
    <w:rsid w:val="00EA1B31"/>
    <w:rsid w:val="00EA2056"/>
    <w:rsid w:val="00EA2277"/>
    <w:rsid w:val="00EA3F66"/>
    <w:rsid w:val="00EA6C22"/>
    <w:rsid w:val="00EA6FAE"/>
    <w:rsid w:val="00EA7763"/>
    <w:rsid w:val="00EA7981"/>
    <w:rsid w:val="00EB01D0"/>
    <w:rsid w:val="00EB05A1"/>
    <w:rsid w:val="00EB178F"/>
    <w:rsid w:val="00EB21FE"/>
    <w:rsid w:val="00EB2957"/>
    <w:rsid w:val="00EB2961"/>
    <w:rsid w:val="00EB2F84"/>
    <w:rsid w:val="00EB3535"/>
    <w:rsid w:val="00EB353F"/>
    <w:rsid w:val="00EB3674"/>
    <w:rsid w:val="00EB3D1F"/>
    <w:rsid w:val="00EB51C7"/>
    <w:rsid w:val="00EB52B6"/>
    <w:rsid w:val="00EB6DC1"/>
    <w:rsid w:val="00EB7B97"/>
    <w:rsid w:val="00EC0402"/>
    <w:rsid w:val="00EC047A"/>
    <w:rsid w:val="00EC0CEE"/>
    <w:rsid w:val="00EC13E3"/>
    <w:rsid w:val="00EC2466"/>
    <w:rsid w:val="00EC48EC"/>
    <w:rsid w:val="00EC4F4D"/>
    <w:rsid w:val="00EC54AF"/>
    <w:rsid w:val="00EC5AC6"/>
    <w:rsid w:val="00EC7250"/>
    <w:rsid w:val="00EC7630"/>
    <w:rsid w:val="00ED1879"/>
    <w:rsid w:val="00ED2220"/>
    <w:rsid w:val="00ED31FF"/>
    <w:rsid w:val="00ED4B61"/>
    <w:rsid w:val="00ED5420"/>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5A99"/>
    <w:rsid w:val="00EF622C"/>
    <w:rsid w:val="00EF6241"/>
    <w:rsid w:val="00EF791E"/>
    <w:rsid w:val="00EF7CB7"/>
    <w:rsid w:val="00F0049D"/>
    <w:rsid w:val="00F01F38"/>
    <w:rsid w:val="00F02E30"/>
    <w:rsid w:val="00F05A89"/>
    <w:rsid w:val="00F0697B"/>
    <w:rsid w:val="00F06D8F"/>
    <w:rsid w:val="00F10D31"/>
    <w:rsid w:val="00F11140"/>
    <w:rsid w:val="00F11475"/>
    <w:rsid w:val="00F132F5"/>
    <w:rsid w:val="00F14B55"/>
    <w:rsid w:val="00F151D3"/>
    <w:rsid w:val="00F15327"/>
    <w:rsid w:val="00F15F74"/>
    <w:rsid w:val="00F167A3"/>
    <w:rsid w:val="00F1697C"/>
    <w:rsid w:val="00F1714B"/>
    <w:rsid w:val="00F1717C"/>
    <w:rsid w:val="00F176A6"/>
    <w:rsid w:val="00F17CCD"/>
    <w:rsid w:val="00F205C9"/>
    <w:rsid w:val="00F2089E"/>
    <w:rsid w:val="00F236E6"/>
    <w:rsid w:val="00F24283"/>
    <w:rsid w:val="00F2478B"/>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161B"/>
    <w:rsid w:val="00F728CB"/>
    <w:rsid w:val="00F7597C"/>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6980"/>
    <w:rsid w:val="00F97C1E"/>
    <w:rsid w:val="00FA213D"/>
    <w:rsid w:val="00FA317A"/>
    <w:rsid w:val="00FA3F03"/>
    <w:rsid w:val="00FA46D7"/>
    <w:rsid w:val="00FA4D33"/>
    <w:rsid w:val="00FA529A"/>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D6653"/>
    <w:rsid w:val="00FE1078"/>
    <w:rsid w:val="00FE2FF9"/>
    <w:rsid w:val="00FE39CC"/>
    <w:rsid w:val="00FE458F"/>
    <w:rsid w:val="00FE49EC"/>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7C1E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package" Target="embeddings/Microsoft_Visio_Drawing11111111.vsdx"/></Relationships>
</file>

<file path=word/charts/_rels/chart1.xml.rels><?xml version="1.0" encoding="UTF-8" standalone="yes"?>
<Relationships xmlns="http://schemas.openxmlformats.org/package/2006/relationships"><Relationship Id="rId3" Type="http://schemas.openxmlformats.org/officeDocument/2006/relationships/oleObject" Target="file:///C:\Users\MTK09171\Documents\3GPP\96_R2_Reno\Submissions\Preconcatenation\Overhead%20ratio%20(Tdoc)-MY.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TK09171\Documents\3GPP\96_R2_Reno\Submissions\Preconcatenation\Overhead%20ratio%20(Tdoc)-MY.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Overhead</a:t>
            </a:r>
            <a:r>
              <a:rPr lang="en-US" baseline="0"/>
              <a:t> comparison for different configured L</a:t>
            </a:r>
            <a:endParaRPr lang="en-US"/>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PC</c:v>
          </c:tx>
          <c:spPr>
            <a:solidFill>
              <a:schemeClr val="accent1"/>
            </a:solidFill>
            <a:ln>
              <a:noFill/>
            </a:ln>
            <a:effectLst/>
          </c:spPr>
          <c:invertIfNegative val="0"/>
          <c:cat>
            <c:numRef>
              <c:f>('Comparing LTE, PC, and CM'!$G$6,'Comparing LTE, PC, and CM'!$G$13,'Comparing LTE, PC, and CM'!$G$29)</c:f>
              <c:numCache>
                <c:formatCode>General</c:formatCode>
                <c:ptCount val="3"/>
                <c:pt idx="0">
                  <c:v>1</c:v>
                </c:pt>
                <c:pt idx="1">
                  <c:v>80</c:v>
                </c:pt>
                <c:pt idx="2">
                  <c:v>834</c:v>
                </c:pt>
              </c:numCache>
            </c:numRef>
          </c:cat>
          <c:val>
            <c:numRef>
              <c:f>('Comparing LTE, PC, and CM'!$L$6,'Comparing LTE, PC, and CM'!$L$13,'Comparing LTE, PC, and CM'!$L$29)</c:f>
              <c:numCache>
                <c:formatCode>0.00</c:formatCode>
                <c:ptCount val="3"/>
                <c:pt idx="0">
                  <c:v>0.8</c:v>
                </c:pt>
                <c:pt idx="1">
                  <c:v>0.1344064748201439</c:v>
                </c:pt>
                <c:pt idx="2">
                  <c:v>0.13365307753796962</c:v>
                </c:pt>
              </c:numCache>
            </c:numRef>
          </c:val>
        </c:ser>
        <c:ser>
          <c:idx val="1"/>
          <c:order val="1"/>
          <c:tx>
            <c:v>LTE</c:v>
          </c:tx>
          <c:spPr>
            <a:solidFill>
              <a:schemeClr val="accent2"/>
            </a:solidFill>
            <a:ln>
              <a:noFill/>
            </a:ln>
            <a:effectLst/>
          </c:spPr>
          <c:invertIfNegative val="0"/>
          <c:cat>
            <c:numRef>
              <c:f>('Comparing LTE, PC, and CM'!$G$6,'Comparing LTE, PC, and CM'!$G$13,'Comparing LTE, PC, and CM'!$G$29)</c:f>
              <c:numCache>
                <c:formatCode>General</c:formatCode>
                <c:ptCount val="3"/>
                <c:pt idx="0">
                  <c:v>1</c:v>
                </c:pt>
                <c:pt idx="1">
                  <c:v>80</c:v>
                </c:pt>
                <c:pt idx="2">
                  <c:v>834</c:v>
                </c:pt>
              </c:numCache>
            </c:numRef>
          </c:cat>
          <c:val>
            <c:numRef>
              <c:f>('Comparing LTE, PC, and CM'!$M$6,'Comparing LTE, PC, and CM'!$M$13,'Comparing LTE, PC, and CM'!$M$29)</c:f>
              <c:numCache>
                <c:formatCode>0.00</c:formatCode>
                <c:ptCount val="3"/>
                <c:pt idx="0">
                  <c:v>0.66666666666666663</c:v>
                </c:pt>
                <c:pt idx="1">
                  <c:v>0.13365307753796962</c:v>
                </c:pt>
                <c:pt idx="2">
                  <c:v>0.13365307753796962</c:v>
                </c:pt>
              </c:numCache>
            </c:numRef>
          </c:val>
        </c:ser>
        <c:ser>
          <c:idx val="2"/>
          <c:order val="2"/>
          <c:tx>
            <c:v>CM</c:v>
          </c:tx>
          <c:spPr>
            <a:solidFill>
              <a:schemeClr val="accent3"/>
            </a:solidFill>
            <a:ln>
              <a:noFill/>
            </a:ln>
            <a:effectLst/>
          </c:spPr>
          <c:invertIfNegative val="0"/>
          <c:cat>
            <c:numRef>
              <c:f>('Comparing LTE, PC, and CM'!$G$6,'Comparing LTE, PC, and CM'!$G$13,'Comparing LTE, PC, and CM'!$G$29)</c:f>
              <c:numCache>
                <c:formatCode>General</c:formatCode>
                <c:ptCount val="3"/>
                <c:pt idx="0">
                  <c:v>1</c:v>
                </c:pt>
                <c:pt idx="1">
                  <c:v>80</c:v>
                </c:pt>
                <c:pt idx="2">
                  <c:v>834</c:v>
                </c:pt>
              </c:numCache>
            </c:numRef>
          </c:cat>
          <c:val>
            <c:numRef>
              <c:f>('Comparing LTE, PC, and CM'!$N$6,'Comparing LTE, PC, and CM'!$N$13,'Comparing LTE, PC, and CM'!$N$29)</c:f>
              <c:numCache>
                <c:formatCode>0.00</c:formatCode>
                <c:ptCount val="3"/>
                <c:pt idx="0">
                  <c:v>1.2</c:v>
                </c:pt>
                <c:pt idx="1">
                  <c:v>0.4</c:v>
                </c:pt>
                <c:pt idx="2">
                  <c:v>0.4</c:v>
                </c:pt>
              </c:numCache>
            </c:numRef>
          </c:val>
        </c:ser>
        <c:dLbls>
          <c:showLegendKey val="0"/>
          <c:showVal val="0"/>
          <c:showCatName val="0"/>
          <c:showSerName val="0"/>
          <c:showPercent val="0"/>
          <c:showBubbleSize val="0"/>
        </c:dLbls>
        <c:gapWidth val="219"/>
        <c:overlap val="-27"/>
        <c:axId val="294990928"/>
        <c:axId val="294991320"/>
      </c:barChart>
      <c:catAx>
        <c:axId val="29499092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baseline="0"/>
                  <a:t>L/P, (P is assumed to 1500 Bytes)</a:t>
                </a:r>
                <a:endParaRPr lang="en-US"/>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94991320"/>
        <c:crosses val="autoZero"/>
        <c:auto val="1"/>
        <c:lblAlgn val="ctr"/>
        <c:lblOffset val="100"/>
        <c:noMultiLvlLbl val="0"/>
      </c:catAx>
      <c:valAx>
        <c:axId val="2949913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ratio (%)</a:t>
                </a:r>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94990928"/>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Overhead</a:t>
            </a:r>
            <a:r>
              <a:rPr lang="en-US" baseline="0"/>
              <a:t> comparison for different PDCP PDU size (P)</a:t>
            </a:r>
            <a:endParaRPr lang="en-US"/>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PC</c:v>
          </c:tx>
          <c:spPr>
            <a:solidFill>
              <a:schemeClr val="accent1"/>
            </a:solidFill>
            <a:ln>
              <a:noFill/>
            </a:ln>
            <a:effectLst/>
          </c:spPr>
          <c:invertIfNegative val="0"/>
          <c:cat>
            <c:numRef>
              <c:f>('Comparing LTE, PC, and CM'!$E$31,'Comparing LTE, PC, and CM'!$E$30,'Comparing LTE, PC, and CM'!$E$6)</c:f>
              <c:numCache>
                <c:formatCode>General</c:formatCode>
                <c:ptCount val="3"/>
                <c:pt idx="0">
                  <c:v>50</c:v>
                </c:pt>
                <c:pt idx="1">
                  <c:v>100</c:v>
                </c:pt>
                <c:pt idx="2">
                  <c:v>500</c:v>
                </c:pt>
              </c:numCache>
            </c:numRef>
          </c:cat>
          <c:val>
            <c:numRef>
              <c:f>('Comparing LTE, PC, and CM'!$L$31,'Comparing LTE, PC, and CM'!$L$30,'Comparing LTE, PC, and CM'!$L$6)</c:f>
              <c:numCache>
                <c:formatCode>0.00</c:formatCode>
                <c:ptCount val="3"/>
                <c:pt idx="0">
                  <c:v>8</c:v>
                </c:pt>
                <c:pt idx="1">
                  <c:v>4.5</c:v>
                </c:pt>
                <c:pt idx="2">
                  <c:v>0.8</c:v>
                </c:pt>
              </c:numCache>
            </c:numRef>
          </c:val>
        </c:ser>
        <c:ser>
          <c:idx val="1"/>
          <c:order val="1"/>
          <c:tx>
            <c:v>LTE</c:v>
          </c:tx>
          <c:spPr>
            <a:solidFill>
              <a:schemeClr val="accent2"/>
            </a:solidFill>
            <a:ln>
              <a:noFill/>
            </a:ln>
            <a:effectLst/>
          </c:spPr>
          <c:invertIfNegative val="0"/>
          <c:cat>
            <c:numRef>
              <c:f>('Comparing LTE, PC, and CM'!$E$31,'Comparing LTE, PC, and CM'!$E$30,'Comparing LTE, PC, and CM'!$E$6)</c:f>
              <c:numCache>
                <c:formatCode>General</c:formatCode>
                <c:ptCount val="3"/>
                <c:pt idx="0">
                  <c:v>50</c:v>
                </c:pt>
                <c:pt idx="1">
                  <c:v>100</c:v>
                </c:pt>
                <c:pt idx="2">
                  <c:v>500</c:v>
                </c:pt>
              </c:numCache>
            </c:numRef>
          </c:cat>
          <c:val>
            <c:numRef>
              <c:f>('Comparing LTE, PC, and CM'!$M$31,'Comparing LTE, PC, and CM'!$M$30,'Comparing LTE, PC, and CM'!$M$6)</c:f>
              <c:numCache>
                <c:formatCode>0.00</c:formatCode>
                <c:ptCount val="3"/>
                <c:pt idx="0">
                  <c:v>6.666666666666667</c:v>
                </c:pt>
                <c:pt idx="1">
                  <c:v>4</c:v>
                </c:pt>
                <c:pt idx="2">
                  <c:v>0.66666666666666663</c:v>
                </c:pt>
              </c:numCache>
            </c:numRef>
          </c:val>
        </c:ser>
        <c:ser>
          <c:idx val="2"/>
          <c:order val="2"/>
          <c:tx>
            <c:v>CM</c:v>
          </c:tx>
          <c:spPr>
            <a:solidFill>
              <a:schemeClr val="accent3"/>
            </a:solidFill>
            <a:ln>
              <a:noFill/>
            </a:ln>
            <a:effectLst/>
          </c:spPr>
          <c:invertIfNegative val="0"/>
          <c:cat>
            <c:numRef>
              <c:f>('Comparing LTE, PC, and CM'!$E$31,'Comparing LTE, PC, and CM'!$E$30,'Comparing LTE, PC, and CM'!$E$6)</c:f>
              <c:numCache>
                <c:formatCode>General</c:formatCode>
                <c:ptCount val="3"/>
                <c:pt idx="0">
                  <c:v>50</c:v>
                </c:pt>
                <c:pt idx="1">
                  <c:v>100</c:v>
                </c:pt>
                <c:pt idx="2">
                  <c:v>500</c:v>
                </c:pt>
              </c:numCache>
            </c:numRef>
          </c:cat>
          <c:val>
            <c:numRef>
              <c:f>('Comparing LTE, PC, and CM'!$N$31,'Comparing LTE, PC, and CM'!$N$30,'Comparing LTE, PC, and CM'!$N$6)</c:f>
              <c:numCache>
                <c:formatCode>0.00</c:formatCode>
                <c:ptCount val="3"/>
                <c:pt idx="0">
                  <c:v>12</c:v>
                </c:pt>
                <c:pt idx="1">
                  <c:v>6</c:v>
                </c:pt>
                <c:pt idx="2">
                  <c:v>1.2</c:v>
                </c:pt>
              </c:numCache>
            </c:numRef>
          </c:val>
        </c:ser>
        <c:dLbls>
          <c:showLegendKey val="0"/>
          <c:showVal val="0"/>
          <c:showCatName val="0"/>
          <c:showSerName val="0"/>
          <c:showPercent val="0"/>
          <c:showBubbleSize val="0"/>
        </c:dLbls>
        <c:gapWidth val="219"/>
        <c:overlap val="-27"/>
        <c:axId val="207239808"/>
        <c:axId val="207240200"/>
      </c:barChart>
      <c:catAx>
        <c:axId val="20723980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baseline="0"/>
                  <a:t>P (Bytes)</a:t>
                </a:r>
                <a:endParaRPr lang="en-US"/>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7240200"/>
        <c:crosses val="autoZero"/>
        <c:auto val="1"/>
        <c:lblAlgn val="ctr"/>
        <c:lblOffset val="100"/>
        <c:noMultiLvlLbl val="0"/>
      </c:catAx>
      <c:valAx>
        <c:axId val="2072402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ratio (%)</a:t>
                </a:r>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7239808"/>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B2F2A-F823-4582-BD0D-62787CDE2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2329</Words>
  <Characters>13281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2016-11-04T20:29:00Z</dcterms:created>
  <dcterms:modified xsi:type="dcterms:W3CDTF">2016-11-04T20:33:00Z</dcterms:modified>
</cp:coreProperties>
</file>